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 w:eastAsia="Times New Roman" w:cs="Times New Roman"/>
          <w:b/>
          <w:color w:val="000000"/>
          <w:sz w:val="22"/>
          <w:u w:val="single"/>
        </w:rPr>
        <w:t xml:space="preserve">общеобразовательной организацией</w:t>
      </w:r>
      <w:r>
        <w:rPr>
          <w:sz w:val="22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 показателя 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</w:r>
      <w:r>
        <w:rPr>
          <w:rFonts w:ascii="Times New Roman" w:hAnsi="Times New Roman" w:eastAsia="Times New Roman" w:cs="Times New Roman"/>
          <w:b/>
          <w:color w:val="00000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color w:val="000000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на официальном сайте организации в инф</w:t>
      </w:r>
      <w:r>
        <w:rPr>
          <w:rFonts w:ascii="Times New Roman" w:hAnsi="Times New Roman" w:eastAsia="Times New Roman" w:cs="Times New Roman"/>
          <w:b/>
          <w:color w:val="000000"/>
        </w:rPr>
        <w:t xml:space="preserve">ормационно-телекоммуникационной </w:t>
      </w:r>
      <w:r>
        <w:rPr>
          <w:rFonts w:ascii="Times New Roman" w:hAnsi="Times New Roman" w:eastAsia="Times New Roman" w:cs="Times New Roman"/>
          <w:b/>
          <w:color w:val="000000"/>
        </w:rPr>
        <w:t xml:space="preserve">сети </w:t>
      </w:r>
      <w:r>
        <w:rPr>
          <w:rFonts w:ascii="Times New Roman" w:hAnsi="Times New Roman" w:eastAsia="Times New Roman" w:cs="Times New Roman"/>
          <w:b/>
          <w:color w:val="000000"/>
        </w:rPr>
        <w:t xml:space="preserve">«</w:t>
      </w:r>
      <w:r>
        <w:rPr>
          <w:rFonts w:ascii="Times New Roman" w:hAnsi="Times New Roman" w:eastAsia="Times New Roman" w:cs="Times New Roman"/>
          <w:b/>
          <w:color w:val="000000"/>
        </w:rPr>
        <w:t xml:space="preserve">Интернет</w:t>
      </w:r>
      <w:r>
        <w:rPr>
          <w:rFonts w:ascii="Times New Roman" w:hAnsi="Times New Roman" w:eastAsia="Times New Roman" w:cs="Times New Roman"/>
          <w:b/>
          <w:color w:val="000000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highlight w:val="none"/>
        </w:rPr>
      </w:r>
      <w:r/>
    </w:p>
    <w:p>
      <w:pPr>
        <w:ind w:left="709" w:right="0" w:hanging="709"/>
        <w:jc w:val="center"/>
        <w:spacing w:after="0" w:line="276" w:lineRule="auto"/>
        <w:widowControl w:val="off"/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</w:rPr>
      </w:r>
      <w:r/>
    </w:p>
    <w:p>
      <w:pPr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318"/>
        <w:tblW w:w="15600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1"/>
        <w:gridCol w:w="966"/>
        <w:gridCol w:w="1728"/>
        <w:gridCol w:w="1985"/>
        <w:gridCol w:w="1701"/>
        <w:gridCol w:w="27"/>
        <w:gridCol w:w="1114"/>
        <w:gridCol w:w="7"/>
        <w:gridCol w:w="2249"/>
        <w:gridCol w:w="6"/>
        <w:gridCol w:w="6"/>
      </w:tblGrid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1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</w:rPr>
              <w:footnoteReference w:id="3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83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официальном сайте организации в сети «Интернет»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ind w:left="-12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установ-ленное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требование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соответствует названию и представлена в полном объеме (например, представлен документ с копиями всех приложений),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 </w:t>
            </w:r>
            <w:r>
              <w:rPr>
                <w:rStyle w:val="1293"/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footnoteReference w:id="4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-98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98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9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38" w:right="-89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информация легко доступна, понятно и логично  расположена,  может быть найдена через встроенный поисковый сервис сайта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138" w:right="-89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highlight w:val="yellow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сайте, но для ее поиска необходимо приложить значительные усилия (нет поиска по сайту, непрозрачное меню и пр.)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yellow"/>
                <w:vertAlign w:val="superscript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-90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90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ind w:left="-9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 3, 4 и 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-9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фото/скриншота, подтверждающего наличие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shd w:val="clear" w:color="ffffff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gridSpan w:val="3"/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gridSpan w:val="2"/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23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Основные сведения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Информация о полном и сокращенном (при наличии) наименовании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Информация о дате создания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Информация об учредителе (учредителях)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 Информация о месте нахождения образовательной организации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 Информация о режиме и графике работы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 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 Информация о местах осуществления образовательной деятельности, в том числе сведения об адресах мест осуществления образовательной деятельности, которые в соответствии с частью 4 статьи 91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Федерального закона от 29 декабря 2012 г. N 273-ФЗ «Об образовании в Российской Федерации» не включаются в соответствующую запись в реестре лицензий на осуществление образовательной деятельности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6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лицензии на осуществление образовательной деятельности (выписка из реестра лицензий на осуществление образовательной деятельности)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наличии или об отсутствии государственной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аккредитации образовательной деятельности по реализуемым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программам, за исключением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образовательных программ дошкольного образования,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 подготовки научных и научно-педагогических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кадров в аспирантуре (адъюнктуре), образовательных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программ, реализуемых в соответствии с федеральным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государственным образовательным стандартом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с нарушением интеллекта, основных программ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профессионального обучения, дополнительных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образовательных программ (информация о выписке из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информационной системы «Реестр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организаций, осуществляющих 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по имеющим государственную аккредитацию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программам»)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b w:val="0"/>
                <w:bCs w:val="0"/>
                <w:color w:val="000000"/>
                <w:sz w:val="36"/>
                <w:szCs w:val="36"/>
              </w:rPr>
            </w:pPr>
            <w:r>
              <w:rPr>
                <w:b w:val="0"/>
                <w:bCs w:val="0"/>
                <w:color w:val="000000"/>
                <w:sz w:val="36"/>
                <w:szCs w:val="36"/>
              </w:rPr>
              <w:t xml:space="preserve">+</w:t>
            </w:r>
            <w:r>
              <w:rPr>
                <w:b w:val="0"/>
                <w:bCs w:val="0"/>
                <w:sz w:val="36"/>
                <w:szCs w:val="3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Структура и органы управления образовательной организацией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Информация о структуре и об органах управления образовательной организации (в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Сведения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законом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6 апреля 2011 г. N 63-ФЗ «Об электронной подписи»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III. Документы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/>
          </w:p>
          <w:p>
            <w:pPr>
              <w:pStyle w:val="1346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 Устав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13. Правила внутреннего распорядка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Правила внутреннего трудового распорядка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15. Коллективный договор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законом № 273-ФЗ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результатах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самообследования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suppressLineNumbers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Предписания органов, осуществляющих государственный контроль (надзор) в сфере образования, отчеты об исполнении таких предписаний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IV. Образование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19. Информация о языках образования (в форме электронного документа)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20. Информация о резул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ьтатах приема по каждой профессии,  специальности среднего профессионального образования (при наличии вступительных испытаний) с указанием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средней суммы набранных баллов по всем вступительным испытаниям, а также о результатах перевода, восстановления и отчисления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 Информация о трудоустройстве выпускников в виде трудоустроенных выпускников прошлого учебного года, освоивших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профессиональные образовательные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среднего профессионального образования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каждой профессии, специальности, направлению подготовки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 укрупненной группе профессий, специальностей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направлений подготовки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16" w:lineRule="auto"/>
              <w:widowControl w:val="off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реализуемых образовательных программах с указанием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учебных предметов, курсов, дисциплин (модулей), практики,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предусмотренных соответствующей образовательной программой (за исключением образовательных программ дошкольного образования),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представляемой в виде образовательной программы в форме электронного документа или в виде активных ссылок, непосредственный переход по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которым позволяет получить доступ к страницам официального сайта образовательной организации, содержащим отдельные компоненты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образовательной программы, с указанием для каждой из них следующей информации: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22. Об уровне общего и профессионального образования, о наименовании образовательных программ (для общеобразовательных программ) 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23. О форме обучения (за исключением образовательных программ дошкольного образования)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 +</w:t>
            </w:r>
            <w:r>
              <w:rPr>
                <w:sz w:val="32"/>
                <w:szCs w:val="3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24. О нормативном сроке обучения, коде и наименовании профессии специальности (специальностей)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численности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25. Об общей численности обучающихся по реализуемым образовательным программам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бюджетных ассигнований федерального бюджета, 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субъектов Российской Федерации, местных бюджетов и по договорам об образовании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физических и (или) юридических лиц (в форме электронного документа)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26. О численности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являющихся иностранными гражданами, по каждой общеобразовательной программе и каждой профессии, специальности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V. Руководство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27. Информация о руководителе образовательной организации, его заместителях,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руководителях филиалов образовательной организации (при их наличии): фамилия, имя, отчество (при наличии) руководителя, его заместителей; должности руководителя, его заместителей; контактные телефоны; адреса электронной почты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I. Педагогический состав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4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 Информация о персональном составе педагогических работников: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(модули); уровень (уровни) профессионального образования с указанием наименования направл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код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бакалавриата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специалитета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магистратуры, ординатуры,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ассистентуры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-стажировки, шифр и наименование области науки, группы научных специальностей, научной 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4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II. Материально-техническое обеспечение и оснащенность образовательного процесса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29. Информация о материально-техническом обеспечении образовательной деятельности, в том чис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 в отношении инвалидов и лиц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ограниченными возможностями здоровья (в том числе о наличии оборудованных учебных кабинетов, оборудованных объектов для проведения практических занятий, оборудованных библиотек, оборудованных объектов спорта, оборудованных средств обучения и воспитания)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30. Информация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доступе к информационным системам и информационно-телекоммуникационным сетям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31. Информация о количестве жилых помещений в общежитии, интернате, формировании платы за проживание в общежитии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7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32. Информация об электронных образовательных ресурсах, к которым обеспечивается доступ обучающихся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Информация о специальных условиях для получения образования инвалидами и лицами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33. Информация об обеспечении доступа в здания образовательной организации, в том числе в общежитие, интернат, приспособленные для использования инвалидами и лицами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34. Информация о наличии специальных технических средств обучения коллективного и индивидуального пользования инвалидов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VIII. Платные образовательные услуги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35. Документ о порядке оказания платных образовательных услуг, в том числе образец договора об оказании платных образовательных услуг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1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36. Документ об утверждении стоимости обучения по каждой образовательной 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37. Документ об установлении размера платы, взимаемой с родителей (законных представите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общего, основного общего или среднего общего образования, если в такой образовательной организации созданы усло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4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IX. Финансово-хозяйственная деятельность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38. Информация об объеме образовате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39. Информация о поступлении финансовых и материальных средств по итогам финансового года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40. Информация о расходовании финансовых и материальных средств по итогам финансового года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41. Копия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 в форме электронного документа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X. Вакантные места для приема (перевода)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42. Информация о количестве вакантных мест для приема (перевода) по каждой образовательной программе, профессии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специальности, направлению подготовки на места, финансируемые за счет бюджетных ассигнований федерального бюджета, бюджетов субъектов Российской Федерации, местных бюджетов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43. Информация о количестве вакантных мест для приема (перевода) по каждой образовательной программе, профессии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специальности, направлению подготовки на места, финансируемые по договорам образования за счет средств физических и (или) юридических лиц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7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XI. Стипендии и меры поддержки поддержки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4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44. Информация о наличии и условиях предоставления обучающимся стипендий, 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социальной поддержки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+</w:t>
            </w:r>
            <w:r>
              <w:rPr>
                <w:sz w:val="32"/>
                <w:szCs w:val="3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45. Информация о наличии общеж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ития, интерната, в том числе приспособленных для использования инвалидами и лицами с ограниченными возможностями здоровья, а также о количестве жилых помещений в общежитии, интернате для иногородних обучающихся, формировании платы за проживание в общежитии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79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XII. Международное сотрудничество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  <w:p>
            <w:pPr>
              <w:pStyle w:val="134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46. Информация о заключенных и планируемых к заключению договорах с иностранными и (или) международными организациями по вопросам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XIII. Организация питания и образовательной организации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47. Информация об условиях питания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охраны здоровья обучающихся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0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48. Информация об условиях питания обучающихся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 начального общего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в государственных и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общеобразовательных организациях, в том числе: меню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ежедневного горячего питания; информация о наличии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диетического меню в общеобразовательной организации;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перечни юридических лиц и индивидуальных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предпринимателей, оказывающих услуги по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питания в общеобразовательной организации, а также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поставляющих (реализующих) пищевые продукты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продовольственное сырье в общеобразовательную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организацию; форма обратной связи для родителей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и ответы на вопросы родителей по питанию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after="0" w:line="216" w:lineRule="auto"/>
              <w:widowControl w:val="off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</w:rPr>
              <w:t xml:space="preserve">       </w:t>
            </w:r>
            <w:r>
              <w:rPr>
                <w:color w:val="000000"/>
                <w:sz w:val="32"/>
                <w:szCs w:val="32"/>
              </w:rPr>
              <w:t xml:space="preserve"> +</w:t>
            </w:r>
            <w:r>
              <w:rPr>
                <w:sz w:val="32"/>
                <w:szCs w:val="3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XIV. Образовательные стандарты и 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49. 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устанавливаемых требованиях (при их наличии)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2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bottom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pPr>
              <w:pStyle w:val="134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pPr>
              <w:pStyle w:val="1346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информации (максимальное количество для ОО), подлежащей размещению на сайте: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  <w:tc>
          <w:tcPr>
            <w:gridSpan w:val="4"/>
            <w:shd w:val="clear" w:color="ffffff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1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highlight w:val="black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highlight w:val="black"/>
              </w:rPr>
            </w:r>
            <w:r>
              <w:rPr>
                <w:highlight w:val="black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gridSpan w:val="10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9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  <w:highlight w:val="none"/>
        </w:rPr>
      </w:r>
      <w:r/>
    </w:p>
    <w:p>
      <w:pPr>
        <w:numPr>
          <w:ilvl w:val="0"/>
          <w:numId w:val="85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>
        <w:rPr>
          <w:color w:val="000000"/>
        </w:rPr>
      </w:r>
      <w:r/>
    </w:p>
    <w:p>
      <w:pPr>
        <w:ind w:left="709" w:hanging="352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информация (единица информации)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не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учитывается в расчете нормативного количества материалов/единиц информации, т.к.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не должна быть представлена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    *     информация должна быть представлена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u w:val="single"/>
        </w:rPr>
        <w:t xml:space="preserve">при наличии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в образовательной организации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contextualSpacing w:val="0"/>
        <w:jc w:val="center"/>
        <w:spacing w:before="0" w:after="0" w:line="240" w:lineRule="atLeast"/>
        <w:widowControl/>
        <w:rPr>
          <w:rFonts w:ascii="Times New Roman" w:hAnsi="Times New Roman" w:eastAsia="Calibri"/>
          <w:b/>
          <w:bCs/>
          <w:color w:val="000000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contextualSpacing w:val="0"/>
        <w:jc w:val="center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contextualSpacing w:val="0"/>
        <w:jc w:val="left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pStyle w:val="1111"/>
        <w:contextualSpacing w:val="0"/>
        <w:jc w:val="center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2"/>
          <w:u w:val="single"/>
        </w:rPr>
        <w:t xml:space="preserve">общеобразовательной организацией</w:t>
      </w:r>
      <w:r>
        <w:rPr>
          <w:rFonts w:ascii="Times New Roman" w:hAnsi="Times New Roman" w:eastAsia="Calibri"/>
          <w:b/>
          <w:color w:val="000000"/>
          <w:u w:val="single"/>
          <w:lang w:eastAsia="en-US"/>
        </w:rPr>
      </w:r>
      <w:r/>
    </w:p>
    <w:p>
      <w:pPr>
        <w:contextualSpacing w:val="0"/>
        <w:jc w:val="center"/>
        <w:spacing w:before="0" w:after="0" w:line="240" w:lineRule="auto"/>
        <w:rPr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</w:rPr>
        <w:t xml:space="preserve">показателя 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</w:r>
      <w:r>
        <w:rPr>
          <w:rFonts w:ascii="Times New Roman" w:hAnsi="Times New Roman" w:eastAsia="Times New Roman" w:cs="Times New Roman"/>
          <w:b/>
          <w:color w:val="000000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</w:rPr>
        <w:br/>
      </w:r>
      <w:r>
        <w:rPr>
          <w:rFonts w:ascii="Times New Roman" w:hAnsi="Times New Roman" w:eastAsia="Times New Roman" w:cs="Times New Roman"/>
          <w:b/>
          <w:color w:val="000000"/>
        </w:rPr>
        <w:t xml:space="preserve">на информационных стендах в помещении организации</w:t>
      </w:r>
      <w:r/>
    </w:p>
    <w:p>
      <w:pPr>
        <w:ind w:left="850" w:right="0" w:firstLine="0"/>
        <w:jc w:val="center"/>
        <w:spacing w:after="0" w:line="276" w:lineRule="auto"/>
        <w:widowControl w:val="off"/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14" w:name="_17dp8vu"/>
      <w:r/>
      <w:bookmarkEnd w:id="14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/>
      <w:bookmarkStart w:id="15" w:name="_3rdcrjn"/>
      <w:r/>
      <w:bookmarkEnd w:id="15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317"/>
        <w:tblW w:w="15877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0"/>
        <w:gridCol w:w="1076"/>
        <w:gridCol w:w="1514"/>
        <w:gridCol w:w="1581"/>
        <w:gridCol w:w="3278"/>
        <w:gridCol w:w="1109"/>
        <w:gridCol w:w="1509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 </w:t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информационных стендах в помещении организации 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установ-ленное требование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соответствует названию и представлена в полном объеме (например, представлен документ с копиями всех приложений),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/>
          </w:p>
          <w:p>
            <w:pPr>
              <w:ind w:left="-107" w:right="-11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-97" w:right="-15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 4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footnoteReference w:id="5"/>
              <w:t xml:space="preserve">6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-116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16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стенды, на которых размещена данная информация, доступны неограниченному кругу лиц, на входе в организацию, расстояние до стендов и высота размещения информации позволяю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т ознакомиться с ней без осложнений, в удобном для чтения формате, на уровне глаз получателей услуг (1,5 м. +/- 10% от пола), печатные материалы (брошюры, буклеты и пр.) доступны для получателя услуги местах, предусмотренных уполномоченным органом власти; </w:t>
            </w:r>
            <w:r/>
          </w:p>
          <w:p>
            <w:pPr>
              <w:ind w:left="-116" w:right="-106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стенде (в печатных материалах), но для ее поиска необходимо приложить значительные усилия (стенды расположены не на первом этаже, доступ к ним ограничен, печатные материалы не размещены в установленных местах и пр.)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3, 4 и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фото, подтверждающего наличие информации</w:t>
            </w:r>
            <w:r/>
          </w:p>
        </w:tc>
      </w:tr>
      <w:tr>
        <w:trPr>
          <w:trHeight w:val="20"/>
        </w:trPr>
        <w:tc>
          <w:tcPr>
            <w:shd w:val="clear" w:color="auto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/>
          </w:p>
        </w:tc>
      </w:tr>
      <w:tr>
        <w:trPr>
          <w:trHeight w:val="51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Основные сведения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 Информация о месте нахождения образовательной организации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Информация о режиме и графике работы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лицензии на осуществление образовательной деятельности (выписка из реестра лицензий на осуществление образовательной деятельности)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</w:t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аккредитации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реализуемым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программам, за исключением образовательных программ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дошкольного образования, образовательных программ,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реализуемых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стандартом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обучающихся с нарушением интеллекта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основных программ профессионального обучения,</w:t>
            </w:r>
            <w:r/>
          </w:p>
          <w:p>
            <w:pPr>
              <w:pStyle w:val="1346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дополнительных образовательных программ (информация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выписке из государственной информационной системы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«Реестр организаций, осуществляющих 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имеющим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аккредитацию образовательным программам»)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+</w:t>
            </w:r>
            <w:r>
              <w:rPr>
                <w:sz w:val="32"/>
                <w:szCs w:val="3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Структура и органы управления образовательной организацией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  Информация о структуре и об органах управления образовательной организации (в том числе: наименование структурных подразделений (органов управления);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фамилии, имена, отчества (при наличии) и должности руководителей структурных подразделений; места нахождения структурных подразделений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адреса официальных сайтов в сети "Интернет" структурных подразделений (при наличии); адреса электронной почты структурных подразделений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III. Документы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8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 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законом от 29 декабря 2012 г. № 273-ФЗ "Об образовании в Российской Федерации"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132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IV. Платные образовательные услуги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 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V. Образование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 Информацию о результатах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риема по каждой профессии,  специальности среднего профессионального образования (при наличии вступительных испытаний) с указанием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средней суммы набранных баллов по всем вступительным испытаниям (при наличии вступительных испытаний), а также о результатах перевода, восстановления и отчисления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  <w:p>
            <w:pPr>
              <w:ind w:left="0" w:firstLine="0"/>
              <w:jc w:val="left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VI. Руководство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 Информация о руководителе образовательной организации, его заместителях,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VII. Педагогический состав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 Информация о пе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дисциплины (модули)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VIII. Организация питания в образовательной организации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 Информация об условиях питания обучающихся, в том числе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+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bottom"/>
            <w:textDirection w:val="lrTb"/>
            <w:noWrap w:val="false"/>
          </w:tcPr>
          <w:p>
            <w:pPr>
              <w:ind w:left="0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Объем информации (количество материалов/единиц информации) о деятельности организации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10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 </w:t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  <w:highlight w:val="none"/>
        </w:rPr>
      </w:r>
      <w:r/>
    </w:p>
    <w:p>
      <w:pPr>
        <w:numPr>
          <w:ilvl w:val="0"/>
          <w:numId w:val="98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>
        <w:rPr>
          <w:color w:val="000000"/>
        </w:rPr>
      </w:r>
      <w:r/>
    </w:p>
    <w:p>
      <w:pPr>
        <w:ind w:left="709" w:hanging="352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информация (единица информации)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не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учитывается в расчете нормативного количества материалов/единиц информации, т.к.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не должна быть представлена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sz w:val="24"/>
          <w:szCs w:val="24"/>
        </w:rPr>
      </w:r>
      <w:bookmarkStart w:id="18" w:name="_35nkun2"/>
      <w:r>
        <w:rPr>
          <w:sz w:val="24"/>
          <w:szCs w:val="24"/>
        </w:rPr>
      </w:r>
      <w:bookmarkEnd w:id="18"/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наличия и функционирования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общеобразовательной организации</w:t>
      </w:r>
      <w:r>
        <w:rPr>
          <w:sz w:val="24"/>
          <w:szCs w:val="24"/>
        </w:rPr>
      </w:r>
      <w:r/>
    </w:p>
    <w:p>
      <w:pPr>
        <w:jc w:val="center"/>
        <w:spacing w:after="0" w:line="240" w:lineRule="auto"/>
        <w:widowControl w:val="off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дистанционных способов взаимодействия с получателями услуг</w:t>
      </w:r>
      <w:r>
        <w:rPr>
          <w:sz w:val="24"/>
          <w:szCs w:val="24"/>
        </w:rPr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19" w:name="_1ksv4uv"/>
      <w:r/>
      <w:bookmarkEnd w:id="19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ind w:left="2124" w:firstLine="707"/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/>
    </w:p>
    <w:tbl>
      <w:tblPr>
        <w:tblStyle w:val="1319"/>
        <w:tblW w:w="15747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27"/>
        <w:gridCol w:w="3942"/>
        <w:gridCol w:w="992"/>
        <w:gridCol w:w="1276"/>
        <w:gridCol w:w="1704"/>
        <w:gridCol w:w="1698"/>
        <w:gridCol w:w="3193"/>
        <w:gridCol w:w="1316"/>
      </w:tblGrid>
      <w:tr>
        <w:trPr>
          <w:trHeight w:val="20"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5"/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8863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restart"/>
            <w:textDirection w:val="lrTb"/>
            <w:noWrap w:val="false"/>
          </w:tcPr>
          <w:p>
            <w:pPr>
              <w:ind w:left="-112" w:right="-14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информации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 Открытость и доступность информации об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39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1.2. Наличие на официальном сайте организации социальной сферы в сети Интернет информации дистанционных способах обратной связи и взаимодействия с получателями услуг и их функционирование: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bottom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функционирование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если значение в столбце 3 = 1, то произведение значений столбца 2 и 4,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если столбец 3=0, то «нет информации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restart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394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проводилась ли проверка: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ind w:left="-39" w:right="-3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0,5 – не в полной мере (несоответствие более 60% установленных требований/ рекомендаций),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ind w:left="45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Телефон (по указанному номеру отвечает сотрудник организации, общается вежливо и предоставляет ответы на вопросы получателя услуг)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Коммуникация по телефону доступна получателям услуг, но общение происходит не в доброжелательной форме, дозвониться сложно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 общении с представителем организации происходит переадресация на других специалистов, которым дозвониться невозможно, ответ на поставленный вопрос недоступен 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Если оба недостатка –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0 баллов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Электронная почта (можно отправить сообщение, получить информацию о его доставке и прочтении, предоставляется ответ в течение суток о полученном сообщении и ответ, либо информация о сроках содержательного ответа)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 на 2 тестовых письма не получен в течение недели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Пришло сообщение о несуществующем адресе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Электронные сервисы (указанные сервисы позволяют оставить сообщение, коммуникация по обращению ведется непосредственно на сайте или через внешние сервисы (почта, чат, мессенджер и пр.), консультация предоставляется в полном объеме по запрос):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форма для подачи электронного обращения (жалобы, предложения)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Обращение или жалоба формируется, но ответа о получении, формах и сроках ответа не предоставляется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153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получение консультации по оказываемым услугам и пр.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запросу на сайте с просьбой о консультации по пакету документов, необходимых для получения услуги, был получен ответ о необходимости очного посещения для получения необходимой информации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Раздел «Часто задаваемые вопросы»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Техническая возможность выражения мнения получателем услуг о качестве условий оказания услуг (наличие анкеты для опроса, гиперссылки или QR-кода для перехода на нее)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Анкета размещена, но кнопка «отправить» не работает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16" w:lineRule="auto"/>
              <w:widowControl w:val="off"/>
              <w:tabs>
                <w:tab w:val="left" w:pos="665" w:leader="none"/>
                <w:tab w:val="center" w:pos="884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ab/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Приведенный QR-код не ведет на страницу анкеты)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Иное (указать)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чат-бот с получателями услуги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98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ссылки на социальные сети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Страница «ВКонтакте» есть, но она не ведется, размещена информация годичной давности, ответа на сообщение в течение недели не поступило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ссылка на формирование обращения на Едином портала государственных и муниципальных услуг (ЕПГУ)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Ссылка ведет не на форму подачи обращения, а просто в тематический раздел ЕПГУ. Необходимы дополнительные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действия для перехода к ожидаемому функционалу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дистанционных способов взаимодействия: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9</w:t>
            </w:r>
            <w:r>
              <w:rPr>
                <w:b/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00000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по столбцу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1293"/>
                <w:color w:val="ffffff" w:themeColor="background1"/>
                <w:sz w:val="16"/>
                <w:szCs w:val="16"/>
              </w:rPr>
              <w:footnoteReference w:id="6"/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br w:type="page" w:clear="all"/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комфортности условий оказания услуг </w:t>
      </w:r>
      <w:r>
        <w:rPr>
          <w:sz w:val="24"/>
          <w:szCs w:val="24"/>
        </w:rPr>
      </w:r>
      <w:r/>
    </w:p>
    <w:p>
      <w:pPr>
        <w:jc w:val="center"/>
        <w:spacing w:after="0" w:line="240" w:lineRule="auto"/>
        <w:widowControl w:val="off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общеобразовательной организации</w:t>
      </w:r>
      <w:r>
        <w:rPr>
          <w:sz w:val="24"/>
          <w:szCs w:val="24"/>
        </w:rPr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20" w:name="_44sinio"/>
      <w:r/>
      <w:bookmarkEnd w:id="20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tbl>
      <w:tblPr>
        <w:tblStyle w:val="1320"/>
        <w:tblW w:w="15767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19"/>
        <w:gridCol w:w="2383"/>
        <w:gridCol w:w="293"/>
        <w:gridCol w:w="2821"/>
        <w:gridCol w:w="10"/>
        <w:gridCol w:w="1125"/>
        <w:gridCol w:w="1286"/>
        <w:gridCol w:w="1408"/>
        <w:gridCol w:w="10"/>
        <w:gridCol w:w="1478"/>
        <w:gridCol w:w="10"/>
        <w:gridCol w:w="9"/>
        <w:gridCol w:w="2039"/>
        <w:gridCol w:w="1276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4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7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8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65" w:type="dxa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комфортности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2. Комфортность условий предоставления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2.1. Обеспечение в организации  комфортных условий для предоставления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комфортной зоны отдыха (ожидания) оборудованной соответствующей мебелью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в организации мест отдыха (рекреационных зон), оборудованных необходимой мебелью (стулья, кресла, скамьи и пр.)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количество мест достаточно для размещения посетителей во время «пиковой нагрузки» в организации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понятность навигации внутри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 каждом этаже размещены поэтажные схемы помещений, при необходимости они дублированы на первом этажах здания,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присутствуют указатели и кабинетные таблички, позволяющие идентифицировать помещения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организации,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 всему зданию размещены специальные указатели, информирующие об основных и запасных выходах из здания, расположении лифтов, пандусов и иных технических средств передвижения (для маломобильных групп граждан),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питьевой воды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размещены кулеры с питьевой водой или обеспечена иная возможность доступа к питьевой воде (бутилированная вода, термоспоты, чайники и пр.),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вода в наличии в течение всего времени работы организации, имеются сменные бутыли, 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заключены договоры с поставщиками на поставку воды на срок не менее 6 месяцев,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доступ к питьевой воде обеспечен на каждом этаже здания и в каждом обособленном подразделении организации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санитарно-гигиенических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помещений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санитарно-гигиенические помещения имеются в необходимом количестве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footnoteReference w:id="7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соблюдается чистота помещений,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средства гигиены (мыло, бумажные полотенца, туалетная бумага) имеются в достаточном количестве, регулярно пополняется их наличие на местах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обеспечен доступ к холодному и горячему водоснабжению, в случае отсутствия централизованного горячего водоснабжения установлены водонагревающие устройства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20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санитарное состояние помещений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и соблюдение графика уборки в помещениях организации,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уборка проводится с использованием чистящих средств, средств, предусмотрено проведение дезинфекционных мероприятий с соблюдением установленных санитарно-эпидемиологических требований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8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отсутствуют посторонние (неприятные) запахи, грибок, плесень, а также насекомые, грызуны и следы их жизнедеятельности;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и на прилегающей территории оборудованы специальные места для сбора мусора (урны, уличные мусоросборники и т.п.)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медицинских организациях и помещениях медицинского назначения дополнительно соблюдаются соответствующие санитарно-эпидемиологические требования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6</w:t>
            </w:r>
            <w:r>
              <w:rPr>
                <w:color w:val="ffffff" w:themeColor="background1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6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7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комфортности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4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Сумма по столбцу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>
        <w:br w:type="page" w:clear="all"/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доступности услуг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2"/>
          <w:u w:val="single"/>
        </w:rPr>
        <w:t xml:space="preserve">общеобразовательной организации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для инвалидов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рекомендации 2024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tbl>
      <w:tblPr>
        <w:tblStyle w:val="1321"/>
        <w:tblW w:w="15730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94"/>
        <w:gridCol w:w="2413"/>
        <w:gridCol w:w="3120"/>
        <w:gridCol w:w="15"/>
        <w:gridCol w:w="1084"/>
        <w:gridCol w:w="2585"/>
        <w:gridCol w:w="15"/>
        <w:gridCol w:w="1473"/>
        <w:gridCol w:w="15"/>
        <w:gridCol w:w="1899"/>
        <w:gridCol w:w="1417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694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8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textDirection w:val="lrTb"/>
            <w:noWrap w:val="false"/>
          </w:tcPr>
          <w:p>
            <w:pPr>
              <w:ind w:left="-58" w:right="-63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129" w:right="-12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доступности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3. Доступность услуг для инвалидов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3.1. Оборудование территории, прилегающей к организации социальной сферы, и ее помещений с учетом доступности для инвалидов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оборудованных входных групп пандусами/подъемными платформами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оборудование входа ровной площадкой непосредственно перед входной дверью для обеспечения его доступности для инвалидов на креслах-колясках;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расположение пандуса и входной двери в сочетании с направлением пути подхода;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при входе в организацию оборудована кнопка вызова сопровождающего;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оборудование выхода со специальных парковочных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мест бордюрными пандусами, расположенными в непосредственной близости от них;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входные группы достаточной ширины для проезда инвалидной коляски;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использование специальных ограждений и тактильных направляющих для лиц с нарушениями зрения,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использование визуально отличающегося цвета поверхности пандуса от цвета горизонтальной площадки;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прочное закрепление противоскользящей поверхности пандусов;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обеспечение возможности входа и выхода из здания, в том числе с использованием специальных подъемных устройств или обеспечение альтернативного способа преодоления перепада высот с помощью ступеней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выделенных стоянок для автотранспортных средств инвалидов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размещение специальных парковочных мест рядом друг с другом,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обозначение их местонахождения указателем, расположенным рядом с главным входом в здание;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обозначение специальных парковочных мест наземной разметкой с обозначением как на поверхности парковки, так и с помощью вертикального знака;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создание системы управления/наблюдения,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чтобы выделенные специальные парковочные места использовались только инвалидами;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расположение специальных парковочных мест как можно ближе к входу в сооружение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возможность посадки в транспортное средство и высадки из него перед входом в объект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адаптированных лифтов, поручней, расширенных дверных проемов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обеспечение противоскользящих свойств ступеней на лестницах,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обеспечено отличие по цвету и яркости предохранительной оковки каждой ступени лестниц от примыкающей к ней ступени,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устройство входного вестибюля оборудовано с учетом предоставления инвалиду в кресле-коляске возможности проезда и поворота по шир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ине и длине помещения (не менее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1,8 м);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вдоль свободных участков стен в безбарьерной зоне организации предусмотрены опорные поручни на высоте 0,7 и 0,9 м 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сменных кресел-колясок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имеются в наличии сменные кресла-коляски в количестве, достаточном для обеспечения не менее 10% контингента получателей услуг-инвалидов ед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иновременно, но не менее одного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специально оборудованных для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инвалидов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санитарно- гигиенических помещений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ind w:right="-24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санитарно-гигиенические помещения размещены в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непосредственной близости (доступности) от основных входов, въездов, коммуникационных узлов здания организации,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 санитарно- гигиенических помещениях имеется кнопка вызова персонала;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ширина прохода между рядами кабин, между стеной и рядом кабин, между писсуарами и линией открытых дверей противостоящего ряда кабин - не менее 1,8 м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санитарные комнаты оборудованы опорными поручнями у унитазов и раковин;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ьзуются адаптационные приспособления для инвалидов (специальные унитазы, раковины, раковины для инвалидов с локтевым смесителем; травмобезопасный держатель (крючок); травмобезопасное поворотное зеркало; сенсорный дозатор мыла; тактильные пиктограммы и др.)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3.2. Обеспечение в организации социальной сферы условий доступности, позволяющих инвалидам получать услуги наравне с другими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76" w:right="-109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12" w:right="-10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доступности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для инвалидов по слуху и зрению звуковой и зрительной информаци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визуально-акустических систем, позволяющих получать информацию одновременно зрительным и звуковым способом;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табло, воспроизводящих визуально-речевые сообщения;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звуковых маяков для воспроизведения аудиосообщений с целью информирования незрячих и слабовидящих посетителей о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 xml:space="preserve">том, какие услуги могут получить,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 как пройти и какие препятствия есть на пути следования;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навигационных систем для слабовидящих и незрячих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при входе в объект вывески с названием организации, графиком работы организации, плана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здания, выполненных рельефно-точечным шрифтом Брайля и на контрастном фоне;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их жизнедеятельности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perscript"/>
              </w:rPr>
              <w:footnoteReference w:id="9"/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 организации есть специалист сурдопереводчик (тифлосурдопереводчик) в штате (если это востребованная услуга) или договор с организациями системы социальной защиты или обществом глухих по предоставлению таких услуг в случае необходимости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альтернативной версии официального сайта организации (учреждения) для инвалидов по зрению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10"/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Альтернативная (адаптированная) версия сайта должна: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предоставлять возможность масштабировать текст на сайте;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имеет экранный диктор (звуковой синтезатор речи) для слабовидящих и незрячих пользователей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Помощь, оказываемая работниками организации (учреждения), прошедшими необходимое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обучение (инструктирование) по сопровождению инвалидов в помещениях организации (учреждения) и на прилегающей территории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В организации: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проведены инструктаж или обучения для работников, работающих с инвалидами, по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вопросам, связанным с обеспечением доступности для инвалидов объектов и услуг с учетом имеющихся у них ограничений и расстройств (есть журнал проведения инструктажа с ознакомительными подписями сотрудников или копии документов о прохождении обучения);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обеспечена возможность вызова сотрудника при потребности получателя услуги-инвалида в сопровождения (специальную кнопку вызова или через службу охраны).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При поступлении информации (вызова) о необходимости предоставления услуг по сопровождению лиц с ограниченными физическими возможностями соответствующий работник организации: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обеспечивает сопровождение инвалида (лица с ОВЗ) до места предоставления услуги (до непосредственного специалиста), 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оказывает содействие в беспрепятственном получении услуги,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сопровождает до выхода из здания после получения услуги 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возможности предоставления услуги в дистанционном режиме или на дому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Да/нет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6838" w:h="11906" w:orient="landscape"/>
      <w:pgMar w:top="964" w:right="1276" w:bottom="737" w:left="1021" w:header="709" w:footer="709" w:gutter="0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3134" w:date="2023-12-13T13:16:00Z" w:initials="3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добавить, что вносят сведения о результатах НОК на официальном сайте для рассмотрения и дальнейшего размещения уполномоченным органом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F7E0C5B" w16cex:dateUtc="2023-12-13T10:16:08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F7E0C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5020405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Georgia">
    <w:panose1 w:val="020405020504050203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850307"/>
      <w:showingPlcHdr w:val="true"/>
      <w:docPartObj>
        <w:docPartGallery w:val="Page Numbers (Bottom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cs="Times New Roman"/>
        <w:color w:val="000000"/>
        <w:sz w:val="24"/>
        <w:szCs w:val="24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/>
        <w:color w:val="000000"/>
        <w:sz w:val="24"/>
        <w:szCs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Эксперт – пред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ставитель организации, осуществляющей сбор и обобщение информации (Оператора), представитель Общественного совета по НОК, либо независимый эксперт, участие которого в сборе информации согласовано с уполномоченным органом исполнительной власти (Заказчиком).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3">
    <w:p>
      <w:pPr>
        <w:jc w:val="both"/>
        <w:tabs>
          <w:tab w:val="left" w:pos="1526" w:leader="none"/>
          <w:tab w:val="left" w:pos="3260" w:leader="none"/>
          <w:tab w:val="left" w:pos="4459" w:leader="none"/>
        </w:tabs>
        <w:rPr>
          <w:rFonts w:ascii="Times New Roman" w:hAnsi="Times New Roman" w:eastAsia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Основания для установления объема информации по показателю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1.1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 xml:space="preserve">(перечень нормативных</w:t>
      </w:r>
      <w:r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  <w:t xml:space="preserve"> правовых актов, устанавливающих перечень информации, которая размещается на информационных ресурсах организации)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приведены в приложении. Конкретный перечень единиц информации устанавливается уполномоченным федеральным органом исполнительной власти в соответствующей сфере с учетом специфики вдов и типов организаций, подлежащих НОК.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4">
    <w:p>
      <w:pPr>
        <w:pStyle w:val="1291"/>
        <w:rPr>
          <w:rFonts w:ascii="Times New Roman" w:hAnsi="Times New Roman" w:cs="Times New Roman"/>
        </w:rPr>
      </w:pPr>
      <w:r>
        <w:rPr>
          <w:rStyle w:val="1293"/>
          <w:rFonts w:ascii="Times New Roman" w:hAnsi="Times New Roman" w:cs="Times New Roman"/>
        </w:rPr>
        <w:footnoteRef/>
      </w:r>
      <w:r>
        <w:t xml:space="preserve"> </w:t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Оценка п</w:t>
      </w:r>
      <w:r>
        <w:rPr>
          <w:rFonts w:ascii="Times New Roman" w:hAnsi="Times New Roman" w:cs="Times New Roman"/>
          <w:sz w:val="20"/>
          <w:szCs w:val="20"/>
        </w:rPr>
        <w:t xml:space="preserve">озиций </w:t>
      </w:r>
      <w:r>
        <w:rPr>
          <w:rFonts w:ascii="Times New Roman" w:hAnsi="Times New Roman" w:cs="Times New Roman"/>
          <w:sz w:val="20"/>
          <w:szCs w:val="20"/>
        </w:rPr>
        <w:t xml:space="preserve">1-6, 24-29, 48-57, 59-61 происходит по алгоритму: 1 – информация представлена; 0 – информация не представлена.</w:t>
      </w:r>
      <w:r>
        <w:rPr>
          <w:rFonts w:ascii="Times New Roman" w:hAnsi="Times New Roman" w:cs="Times New Roman"/>
          <w:sz w:val="20"/>
          <w:szCs w:val="20"/>
        </w:rPr>
      </w:r>
      <w:r/>
    </w:p>
  </w:footnote>
  <w:footnote w:id="5"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t xml:space="preserve">4 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Под неизбыточностью понимается конкретность и достаточность информации в соответствии с заявленным требованием. </w:t>
      </w:r>
      <w:r>
        <w:rPr>
          <w:sz w:val="16"/>
          <w:szCs w:val="16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vertAlign w:val="baseli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none"/>
          <w:vertAlign w:val="superscript"/>
        </w:rPr>
        <w:t xml:space="preserve">5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Оценка п</w:t>
      </w:r>
      <w:r>
        <w:rPr>
          <w:rFonts w:ascii="Times New Roman" w:hAnsi="Times New Roman" w:cs="Times New Roman"/>
          <w:sz w:val="16"/>
          <w:szCs w:val="16"/>
        </w:rPr>
        <w:t xml:space="preserve">озиций </w:t>
      </w:r>
      <w:r>
        <w:rPr>
          <w:rFonts w:ascii="Times New Roman" w:hAnsi="Times New Roman" w:cs="Times New Roman"/>
          <w:sz w:val="16"/>
          <w:szCs w:val="16"/>
        </w:rPr>
        <w:t xml:space="preserve">1-2, 9-11, 15  происходит по алгоритму: 1 – информация представлена; 0 – информация не представлена.</w:t>
      </w:r>
      <w:r>
        <w:rPr>
          <w:rFonts w:ascii="Times New Roman" w:hAnsi="Times New Roman" w:eastAsia="Times New Roman" w:cs="Times New Roman"/>
          <w:color w:val="000000"/>
          <w:sz w:val="16"/>
          <w:szCs w:val="16"/>
          <w:vertAlign w:val="baseline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</w:r>
      <w:r>
        <w:rPr>
          <w:vertAlign w:val="superscript"/>
        </w:rPr>
      </w:r>
      <w:r/>
    </w:p>
  </w:footnote>
  <w:footnote w:id="6"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16"/>
          <w:szCs w:val="1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Style w:val="1293"/>
        </w:rPr>
        <w:t xml:space="preserve">6</w:t>
      </w:r>
      <w:r>
        <w:t xml:space="preserve"> </w:t>
      </w:r>
      <w:r>
        <w:rPr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В оценку по показателю пойдет наличие 4 дистанционных способов взаимодействия, количество баллов по данному показателю – 20*4=80 баллов</w:t>
      </w:r>
      <w:r>
        <w:rPr>
          <w:sz w:val="16"/>
          <w:szCs w:val="16"/>
        </w:rPr>
      </w:r>
      <w:r/>
      <w:r/>
      <w:r/>
      <w:r>
        <w:rPr>
          <w:rFonts w:ascii="Times New Roman" w:hAnsi="Times New Roman" w:eastAsia="Times New Roman" w:cs="Times New Roman"/>
          <w:color w:val="000000"/>
          <w:sz w:val="16"/>
          <w:szCs w:val="16"/>
        </w:rPr>
      </w:r>
    </w:p>
  </w:footnote>
  <w:footnote w:id="7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t xml:space="preserve">6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В соответствии с требованиями СП 2.1.3678-20 "Санитарно-эпидемиоло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 для организаций соответствующей сферы. </w:t>
      </w:r>
      <w:r/>
    </w:p>
  </w:footnote>
  <w:footnote w:id="8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9">
    <w:p>
      <w:p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надлежащим размещением понимается размещение информации в тех местах, где она доступна инвалиду. Например, тактильные таблички с указателями выходов, поворотов, лестниц должны быть не только в одном месте на входе, но и по всему пути передвижения инвалида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</w:t>
      </w:r>
      <w:r/>
    </w:p>
  </w:footnote>
  <w:footnote w:id="10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случае, если лица ограничениями по зрению и/или слуху являются целевыми получателями услуги, может быть дополнительно проведена проверка на соответствие требованиям, установленным в соответствии 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с </w:t>
      </w:r>
      <w:r>
        <w:rPr>
          <w:rFonts w:ascii="Times New Roman" w:hAnsi="Times New Roman" w:eastAsia="Times New Roman" w:cs="Times New Roman"/>
          <w:smallCaps/>
          <w:color w:val="000000"/>
          <w:sz w:val="20"/>
          <w:szCs w:val="20"/>
          <w:shd w:val="clear" w:color="auto" w:fill="fefefe"/>
        </w:rPr>
        <w:t xml:space="preserve">ГОСТ Р 52872-2019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 «Инт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сти». Для удовлетворения потребностей различных групп пользователей в различных ситуациях стандарт определяет три уровня соответствия: A (приемлемый), AA (высокий) и AAA (наивысший). При оценке в рамках НОК допустимым может считаться соответствие уровню А.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40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560" w:hanging="360"/>
      </w:pPr>
      <w:rPr>
        <w:rFonts w:ascii="Noto Sans Symbols" w:hAnsi="Noto Sans Symbols" w:eastAsia="Noto Sans Symbols" w:cs="Noto Sans Symbols"/>
      </w:rPr>
    </w:lvl>
  </w:abstractNum>
  <w:abstractNum w:abstractNumId="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05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9" w:hanging="359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8" w:hanging="719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7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6" w:hanging="1079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5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14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32" w:hanging="1800"/>
      </w:pPr>
      <w:rPr>
        <w:b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81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501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221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941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61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81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101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821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541" w:hanging="360"/>
      </w:pPr>
      <w:rPr>
        <w:rFonts w:ascii="Noto Sans Symbols" w:hAnsi="Noto Sans Symbols" w:eastAsia="Noto Sans Symbols" w:cs="Noto Sans Symbol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bullet"/>
      <w:isLgl w:val="false"/>
      <w:suff w:val="tab"/>
      <w:lvlText w:val="−"/>
      <w:lvlJc w:val="left"/>
      <w:pPr>
        <w:ind w:left="178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color w:val="auto"/>
      </w:rPr>
    </w:lvl>
    <w:lvl w:ilvl="1">
      <w:start w:val="1"/>
      <w:numFmt w:val="bullet"/>
      <w:isLgl w:val="false"/>
      <w:suff w:val="tab"/>
      <w:lvlText w:val="−"/>
      <w:lvlJc w:val="left"/>
      <w:pPr>
        <w:ind w:left="178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428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3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06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39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083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1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097" w:hanging="180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9" w:hanging="359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8" w:hanging="719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7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6" w:hanging="1079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5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14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32" w:hanging="1800"/>
      </w:pPr>
      <w:rPr>
        <w:b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20" w:hanging="360"/>
      </w:pPr>
      <w:rPr>
        <w:b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06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2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38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hanging="360"/>
      </w:pPr>
      <w:rPr>
        <w:rFonts w:ascii="Noto Sans Symbols" w:hAnsi="Noto Sans Symbols" w:eastAsia="Noto Sans Symbols" w:cs="Noto Sans Symbol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b w:val="0"/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82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54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26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98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70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42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14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86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588" w:hanging="360"/>
      </w:pPr>
      <w:rPr>
        <w:rFonts w:ascii="Noto Sans Symbols" w:hAnsi="Noto Sans Symbols" w:eastAsia="Noto Sans Symbols" w:cs="Noto Sans Symbol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  <w:rPr>
        <w:u w:val="none"/>
      </w:rPr>
    </w:lvl>
    <w:lvl w:ilvl="1">
      <w:start w:val="1"/>
      <w:numFmt w:val="bullet"/>
      <w:isLgl w:val="false"/>
      <w:suff w:val="tab"/>
      <w:lvlText w:val="−"/>
      <w:lvlJc w:val="left"/>
      <w:pPr>
        <w:ind w:left="37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decimal"/>
      <w:isLgl w:val="false"/>
      <w:suff w:val="tab"/>
      <w:lvlText w:val="%1.−.%3."/>
      <w:lvlJc w:val="left"/>
      <w:pPr>
        <w:ind w:left="739" w:hanging="720"/>
      </w:pPr>
    </w:lvl>
    <w:lvl w:ilvl="3">
      <w:start w:val="1"/>
      <w:numFmt w:val="decimal"/>
      <w:isLgl w:val="false"/>
      <w:suff w:val="tab"/>
      <w:lvlText w:val="%1.−.%3.%4."/>
      <w:lvlJc w:val="left"/>
      <w:pPr>
        <w:ind w:left="739" w:hanging="720"/>
      </w:pPr>
    </w:lvl>
    <w:lvl w:ilvl="4">
      <w:start w:val="1"/>
      <w:numFmt w:val="decimal"/>
      <w:isLgl w:val="false"/>
      <w:suff w:val="tab"/>
      <w:lvlText w:val="%1.−.%3.%4.%5."/>
      <w:lvlJc w:val="left"/>
      <w:pPr>
        <w:ind w:left="1099" w:hanging="1080"/>
      </w:pPr>
    </w:lvl>
    <w:lvl w:ilvl="5">
      <w:start w:val="1"/>
      <w:numFmt w:val="decimal"/>
      <w:isLgl w:val="false"/>
      <w:suff w:val="tab"/>
      <w:lvlText w:val="%1.−.%3.%4.%5.%6."/>
      <w:lvlJc w:val="left"/>
      <w:pPr>
        <w:ind w:left="1099" w:hanging="1080"/>
      </w:pPr>
    </w:lvl>
    <w:lvl w:ilvl="6">
      <w:start w:val="1"/>
      <w:numFmt w:val="decimal"/>
      <w:isLgl w:val="false"/>
      <w:suff w:val="tab"/>
      <w:lvlText w:val="%1.−.%3.%4.%5.%6.%7."/>
      <w:lvlJc w:val="left"/>
      <w:pPr>
        <w:ind w:left="1459" w:hanging="1440"/>
      </w:pPr>
    </w:lvl>
    <w:lvl w:ilvl="7">
      <w:start w:val="1"/>
      <w:numFmt w:val="decimal"/>
      <w:isLgl w:val="false"/>
      <w:suff w:val="tab"/>
      <w:lvlText w:val="%1.−.%3.%4.%5.%6.%7.%8."/>
      <w:lvlJc w:val="left"/>
      <w:pPr>
        <w:ind w:left="1459" w:hanging="1440"/>
      </w:pPr>
    </w:lvl>
    <w:lvl w:ilvl="8">
      <w:start w:val="1"/>
      <w:numFmt w:val="decimal"/>
      <w:isLgl w:val="false"/>
      <w:suff w:val="tab"/>
      <w:lvlText w:val="%1.−.%3.%4.%5.%6.%7.%8.%9."/>
      <w:lvlJc w:val="left"/>
      <w:pPr>
        <w:ind w:left="1819" w:hanging="180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8" w:hanging="360"/>
      </w:pPr>
      <w:rPr>
        <w:rFonts w:ascii="Noto Sans Symbols" w:hAnsi="Noto Sans Symbols" w:eastAsia="Noto Sans Symbols" w:cs="Noto Sans Symbol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353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×"/>
      <w:lvlJc w:val="left"/>
      <w:pPr>
        <w:ind w:left="720" w:hanging="360"/>
      </w:pPr>
      <w:rPr>
        <w:rFonts w:ascii="Calibri" w:hAnsi="Calibri" w:eastAsia="Calibri" w:cs="Calibri"/>
        <w:b/>
        <w:color w:val="c00000"/>
      </w:rPr>
    </w:lvl>
    <w:lvl w:ilvl="1">
      <w:start w:val="1"/>
      <w:numFmt w:val="bullet"/>
      <w:isLgl w:val="false"/>
      <w:suff w:val="tab"/>
      <w:lvlText w:val="×"/>
      <w:lvlJc w:val="left"/>
      <w:pPr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isLgl w:val="false"/>
      <w:suff w:val="tab"/>
      <w:lvlText w:val="×"/>
      <w:lvlJc w:val="left"/>
      <w:pPr>
        <w:ind w:left="2160" w:hanging="360"/>
      </w:pPr>
      <w:rPr>
        <w:rFonts w:ascii="Calibri" w:hAnsi="Calibri" w:eastAsia="Calibri" w:cs="Calibri"/>
      </w:rPr>
    </w:lvl>
    <w:lvl w:ilvl="3">
      <w:start w:val="1"/>
      <w:numFmt w:val="bullet"/>
      <w:isLgl w:val="false"/>
      <w:suff w:val="tab"/>
      <w:lvlText w:val="×"/>
      <w:lvlJc w:val="left"/>
      <w:pPr>
        <w:ind w:left="2880" w:hanging="360"/>
      </w:pPr>
      <w:rPr>
        <w:rFonts w:ascii="Calibri" w:hAnsi="Calibri" w:eastAsia="Calibri" w:cs="Calibri"/>
      </w:rPr>
    </w:lvl>
    <w:lvl w:ilvl="4">
      <w:start w:val="1"/>
      <w:numFmt w:val="bullet"/>
      <w:isLgl w:val="false"/>
      <w:suff w:val="tab"/>
      <w:lvlText w:val="×"/>
      <w:lvlJc w:val="left"/>
      <w:pPr>
        <w:ind w:left="3600" w:hanging="360"/>
      </w:pPr>
      <w:rPr>
        <w:rFonts w:ascii="Calibri" w:hAnsi="Calibri" w:eastAsia="Calibri" w:cs="Calibri"/>
      </w:rPr>
    </w:lvl>
    <w:lvl w:ilvl="5">
      <w:start w:val="1"/>
      <w:numFmt w:val="bullet"/>
      <w:isLgl w:val="false"/>
      <w:suff w:val="tab"/>
      <w:lvlText w:val="×"/>
      <w:lvlJc w:val="left"/>
      <w:pPr>
        <w:ind w:left="4320" w:hanging="360"/>
      </w:pPr>
      <w:rPr>
        <w:rFonts w:ascii="Calibri" w:hAnsi="Calibri" w:eastAsia="Calibri" w:cs="Calibri"/>
      </w:rPr>
    </w:lvl>
    <w:lvl w:ilvl="6">
      <w:start w:val="1"/>
      <w:numFmt w:val="bullet"/>
      <w:isLgl w:val="false"/>
      <w:suff w:val="tab"/>
      <w:lvlText w:val="×"/>
      <w:lvlJc w:val="left"/>
      <w:pPr>
        <w:ind w:left="5040" w:hanging="360"/>
      </w:pPr>
      <w:rPr>
        <w:rFonts w:ascii="Calibri" w:hAnsi="Calibri" w:eastAsia="Calibri" w:cs="Calibri"/>
      </w:rPr>
    </w:lvl>
    <w:lvl w:ilvl="7">
      <w:start w:val="1"/>
      <w:numFmt w:val="bullet"/>
      <w:isLgl w:val="false"/>
      <w:suff w:val="tab"/>
      <w:lvlText w:val="×"/>
      <w:lvlJc w:val="left"/>
      <w:pPr>
        <w:ind w:left="5760" w:hanging="360"/>
      </w:pPr>
      <w:rPr>
        <w:rFonts w:ascii="Calibri" w:hAnsi="Calibri" w:eastAsia="Calibri" w:cs="Calibri"/>
      </w:rPr>
    </w:lvl>
    <w:lvl w:ilvl="8">
      <w:start w:val="1"/>
      <w:numFmt w:val="bullet"/>
      <w:isLgl w:val="false"/>
      <w:suff w:val="tab"/>
      <w:lvlText w:val="×"/>
      <w:lvlJc w:val="left"/>
      <w:pPr>
        <w:ind w:left="6480" w:hanging="360"/>
      </w:pPr>
      <w:rPr>
        <w:rFonts w:ascii="Calibri" w:hAnsi="Calibri" w:eastAsia="Calibri" w:cs="Calibri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7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122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48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81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50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828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9515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42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529" w:hanging="1800"/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−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5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7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9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61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3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5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7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9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219" w:hanging="360"/>
      </w:pPr>
      <w:rPr>
        <w:rFonts w:ascii="Noto Sans Symbols" w:hAnsi="Noto Sans Symbols" w:eastAsia="Noto Sans Symbols" w:cs="Noto Sans Symbol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360" w:hanging="360"/>
      </w:pPr>
      <w:rPr>
        <w:rFonts w:ascii="Courier New" w:hAnsi="Courier New" w:eastAsia="Courier New" w:cs="Courier New"/>
      </w:rPr>
    </w:lvl>
    <w:lvl w:ilvl="1">
      <w:start w:val="1"/>
      <w:numFmt w:val="bullet"/>
      <w:isLgl w:val="false"/>
      <w:suff w:val="tab"/>
      <w:lvlText w:val="­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7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bullet"/>
      <w:isLgl w:val="false"/>
      <w:suff w:val="tab"/>
      <w:lvlText w:val="−"/>
      <w:lvlJc w:val="left"/>
      <w:pPr>
        <w:ind w:left="8866" w:hanging="360"/>
      </w:pPr>
      <w:rPr>
        <w:rFonts w:ascii="Noto Sans Symbols" w:hAnsi="Noto Sans Symbols" w:eastAsia="Noto Sans Symbols" w:cs="Noto Sans Symbols"/>
        <w:color w:val="000000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9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isLgl w:val="false"/>
      <w:suff w:val="tab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>
      <w:start w:val="1"/>
      <w:numFmt w:val="bullet"/>
      <w:isLgl w:val="false"/>
      <w:suff w:val="tab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isLgl w:val="false"/>
      <w:suff w:val="tab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isLgl w:val="false"/>
      <w:suff w:val="tab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isLgl w:val="false"/>
      <w:suff w:val="tab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isLgl w:val="false"/>
      <w:suff w:val="tab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color w:val="0070c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9" w:hanging="180"/>
      </w:p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59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  <w:rPr>
        <w:b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37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3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3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9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9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5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5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19" w:hanging="180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5"/>
  </w:num>
  <w:num w:numId="2">
    <w:abstractNumId w:val="15"/>
  </w:num>
  <w:num w:numId="3">
    <w:abstractNumId w:val="54"/>
  </w:num>
  <w:num w:numId="4">
    <w:abstractNumId w:val="35"/>
  </w:num>
  <w:num w:numId="5">
    <w:abstractNumId w:val="16"/>
  </w:num>
  <w:num w:numId="6">
    <w:abstractNumId w:val="70"/>
  </w:num>
  <w:num w:numId="7">
    <w:abstractNumId w:val="6"/>
  </w:num>
  <w:num w:numId="8">
    <w:abstractNumId w:val="38"/>
  </w:num>
  <w:num w:numId="9">
    <w:abstractNumId w:val="44"/>
  </w:num>
  <w:num w:numId="10">
    <w:abstractNumId w:val="59"/>
  </w:num>
  <w:num w:numId="11">
    <w:abstractNumId w:val="25"/>
  </w:num>
  <w:num w:numId="12">
    <w:abstractNumId w:val="28"/>
  </w:num>
  <w:num w:numId="13">
    <w:abstractNumId w:val="22"/>
  </w:num>
  <w:num w:numId="14">
    <w:abstractNumId w:val="57"/>
  </w:num>
  <w:num w:numId="15">
    <w:abstractNumId w:val="33"/>
  </w:num>
  <w:num w:numId="16">
    <w:abstractNumId w:val="21"/>
  </w:num>
  <w:num w:numId="17">
    <w:abstractNumId w:val="49"/>
  </w:num>
  <w:num w:numId="18">
    <w:abstractNumId w:val="60"/>
  </w:num>
  <w:num w:numId="19">
    <w:abstractNumId w:val="2"/>
  </w:num>
  <w:num w:numId="20">
    <w:abstractNumId w:val="55"/>
  </w:num>
  <w:num w:numId="21">
    <w:abstractNumId w:val="53"/>
  </w:num>
  <w:num w:numId="22">
    <w:abstractNumId w:val="58"/>
  </w:num>
  <w:num w:numId="23">
    <w:abstractNumId w:val="39"/>
  </w:num>
  <w:num w:numId="24">
    <w:abstractNumId w:val="47"/>
  </w:num>
  <w:num w:numId="25">
    <w:abstractNumId w:val="8"/>
  </w:num>
  <w:num w:numId="26">
    <w:abstractNumId w:val="65"/>
  </w:num>
  <w:num w:numId="27">
    <w:abstractNumId w:val="27"/>
  </w:num>
  <w:num w:numId="28">
    <w:abstractNumId w:val="72"/>
  </w:num>
  <w:num w:numId="29">
    <w:abstractNumId w:val="45"/>
  </w:num>
  <w:num w:numId="30">
    <w:abstractNumId w:val="32"/>
  </w:num>
  <w:num w:numId="31">
    <w:abstractNumId w:val="50"/>
  </w:num>
  <w:num w:numId="32">
    <w:abstractNumId w:val="51"/>
  </w:num>
  <w:num w:numId="33">
    <w:abstractNumId w:val="34"/>
  </w:num>
  <w:num w:numId="34">
    <w:abstractNumId w:val="7"/>
  </w:num>
  <w:num w:numId="35">
    <w:abstractNumId w:val="41"/>
  </w:num>
  <w:num w:numId="36">
    <w:abstractNumId w:val="31"/>
  </w:num>
  <w:num w:numId="37">
    <w:abstractNumId w:val="9"/>
  </w:num>
  <w:num w:numId="38">
    <w:abstractNumId w:val="67"/>
  </w:num>
  <w:num w:numId="39">
    <w:abstractNumId w:val="19"/>
  </w:num>
  <w:num w:numId="40">
    <w:abstractNumId w:val="11"/>
  </w:num>
  <w:num w:numId="41">
    <w:abstractNumId w:val="4"/>
  </w:num>
  <w:num w:numId="42">
    <w:abstractNumId w:val="43"/>
  </w:num>
  <w:num w:numId="43">
    <w:abstractNumId w:val="36"/>
  </w:num>
  <w:num w:numId="44">
    <w:abstractNumId w:val="69"/>
  </w:num>
  <w:num w:numId="45">
    <w:abstractNumId w:val="68"/>
  </w:num>
  <w:num w:numId="46">
    <w:abstractNumId w:val="30"/>
  </w:num>
  <w:num w:numId="47">
    <w:abstractNumId w:val="37"/>
  </w:num>
  <w:num w:numId="48">
    <w:abstractNumId w:val="29"/>
  </w:num>
  <w:num w:numId="49">
    <w:abstractNumId w:val="17"/>
  </w:num>
  <w:num w:numId="50">
    <w:abstractNumId w:val="10"/>
  </w:num>
  <w:num w:numId="51">
    <w:abstractNumId w:val="66"/>
  </w:num>
  <w:num w:numId="52">
    <w:abstractNumId w:val="64"/>
  </w:num>
  <w:num w:numId="53">
    <w:abstractNumId w:val="13"/>
  </w:num>
  <w:num w:numId="54">
    <w:abstractNumId w:val="40"/>
  </w:num>
  <w:num w:numId="55">
    <w:abstractNumId w:val="61"/>
  </w:num>
  <w:num w:numId="56">
    <w:abstractNumId w:val="48"/>
  </w:num>
  <w:num w:numId="57">
    <w:abstractNumId w:val="26"/>
  </w:num>
  <w:num w:numId="58">
    <w:abstractNumId w:val="46"/>
  </w:num>
  <w:num w:numId="59">
    <w:abstractNumId w:val="14"/>
  </w:num>
  <w:num w:numId="60">
    <w:abstractNumId w:val="18"/>
  </w:num>
  <w:num w:numId="61">
    <w:abstractNumId w:val="62"/>
  </w:num>
  <w:num w:numId="62">
    <w:abstractNumId w:val="71"/>
  </w:num>
  <w:num w:numId="63">
    <w:abstractNumId w:val="1"/>
  </w:num>
  <w:num w:numId="64">
    <w:abstractNumId w:val="23"/>
  </w:num>
  <w:num w:numId="65">
    <w:abstractNumId w:val="12"/>
  </w:num>
  <w:num w:numId="66">
    <w:abstractNumId w:val="63"/>
  </w:num>
  <w:num w:numId="67">
    <w:abstractNumId w:val="24"/>
  </w:num>
  <w:num w:numId="68">
    <w:abstractNumId w:val="52"/>
  </w:num>
  <w:num w:numId="69">
    <w:abstractNumId w:val="0"/>
  </w:num>
  <w:num w:numId="70">
    <w:abstractNumId w:val="42"/>
  </w:num>
  <w:num w:numId="71">
    <w:abstractNumId w:val="56"/>
  </w:num>
  <w:num w:numId="72">
    <w:abstractNumId w:val="3"/>
  </w:num>
  <w:num w:numId="73">
    <w:abstractNumId w:val="20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83">
    <w:name w:val="Heading 2"/>
    <w:basedOn w:val="1111"/>
    <w:next w:val="1111"/>
    <w:link w:val="11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084">
    <w:name w:val="Heading 3"/>
    <w:basedOn w:val="1111"/>
    <w:next w:val="1111"/>
    <w:link w:val="11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85">
    <w:name w:val="Heading 4"/>
    <w:basedOn w:val="1111"/>
    <w:next w:val="1111"/>
    <w:link w:val="11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86">
    <w:name w:val="Heading 5"/>
    <w:basedOn w:val="1111"/>
    <w:next w:val="1111"/>
    <w:link w:val="11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087">
    <w:name w:val="Heading 6"/>
    <w:basedOn w:val="1111"/>
    <w:next w:val="1111"/>
    <w:link w:val="11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88">
    <w:name w:val="Heading 7"/>
    <w:basedOn w:val="1111"/>
    <w:next w:val="1111"/>
    <w:link w:val="11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89">
    <w:name w:val="Heading 8"/>
    <w:basedOn w:val="1111"/>
    <w:next w:val="1111"/>
    <w:link w:val="11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90">
    <w:name w:val="Heading 9"/>
    <w:basedOn w:val="1111"/>
    <w:next w:val="1111"/>
    <w:link w:val="11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1091">
    <w:name w:val="Caption"/>
    <w:basedOn w:val="1111"/>
    <w:next w:val="11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092">
    <w:name w:val="Plain Table 1"/>
    <w:basedOn w:val="11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93">
    <w:name w:val="Plain Table 2"/>
    <w:basedOn w:val="11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94">
    <w:name w:val="Plain Table 3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95">
    <w:name w:val="Plain Table 4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6">
    <w:name w:val="Plain Table 5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97">
    <w:name w:val="Grid Table 1 Light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8">
    <w:name w:val="Grid Table 2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>
    <w:name w:val="Grid Table 3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>
    <w:name w:val="Grid Table 4"/>
    <w:basedOn w:val="11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01">
    <w:name w:val="Grid Table 5 Dark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02">
    <w:name w:val="Grid Table 6 Colorful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03">
    <w:name w:val="Grid Table 7 Colorful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>
    <w:name w:val="List Table 1 Light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>
    <w:name w:val="List Table 2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6">
    <w:name w:val="List Table 3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4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5 Dark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09">
    <w:name w:val="List Table 6 Colorful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10">
    <w:name w:val="List Table 7 Colorful"/>
    <w:basedOn w:val="11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1111" w:default="1">
    <w:name w:val="Normal"/>
  </w:style>
  <w:style w:type="paragraph" w:styleId="1112">
    <w:name w:val="Heading 1"/>
    <w:basedOn w:val="1111"/>
    <w:next w:val="1111"/>
    <w:link w:val="1335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1113" w:default="1">
    <w:name w:val="Default Paragraph Font"/>
    <w:uiPriority w:val="1"/>
    <w:semiHidden/>
    <w:unhideWhenUsed/>
  </w:style>
  <w:style w:type="table" w:styleId="11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15" w:default="1">
    <w:name w:val="No List"/>
    <w:uiPriority w:val="99"/>
    <w:semiHidden/>
    <w:unhideWhenUsed/>
  </w:style>
  <w:style w:type="character" w:styleId="1116" w:customStyle="1">
    <w:name w:val="Heading 1 Char"/>
    <w:basedOn w:val="1113"/>
    <w:uiPriority w:val="9"/>
    <w:rPr>
      <w:rFonts w:ascii="Arial" w:hAnsi="Arial" w:eastAsia="Arial" w:cs="Arial"/>
      <w:sz w:val="40"/>
      <w:szCs w:val="40"/>
    </w:rPr>
  </w:style>
  <w:style w:type="character" w:styleId="1117" w:customStyle="1">
    <w:name w:val="Heading 2 Char"/>
    <w:basedOn w:val="1113"/>
    <w:uiPriority w:val="9"/>
    <w:rPr>
      <w:rFonts w:ascii="Arial" w:hAnsi="Arial" w:eastAsia="Arial" w:cs="Arial"/>
      <w:sz w:val="34"/>
    </w:rPr>
  </w:style>
  <w:style w:type="character" w:styleId="1118" w:customStyle="1">
    <w:name w:val="Heading 3 Char"/>
    <w:basedOn w:val="1113"/>
    <w:uiPriority w:val="9"/>
    <w:rPr>
      <w:rFonts w:ascii="Arial" w:hAnsi="Arial" w:eastAsia="Arial" w:cs="Arial"/>
      <w:sz w:val="30"/>
      <w:szCs w:val="30"/>
    </w:rPr>
  </w:style>
  <w:style w:type="character" w:styleId="1119" w:customStyle="1">
    <w:name w:val="Heading 4 Char"/>
    <w:basedOn w:val="1113"/>
    <w:uiPriority w:val="9"/>
    <w:rPr>
      <w:rFonts w:ascii="Arial" w:hAnsi="Arial" w:eastAsia="Arial" w:cs="Arial"/>
      <w:b/>
      <w:bCs/>
      <w:sz w:val="26"/>
      <w:szCs w:val="26"/>
    </w:rPr>
  </w:style>
  <w:style w:type="character" w:styleId="1120" w:customStyle="1">
    <w:name w:val="Heading 5 Char"/>
    <w:basedOn w:val="1113"/>
    <w:uiPriority w:val="9"/>
    <w:rPr>
      <w:rFonts w:ascii="Arial" w:hAnsi="Arial" w:eastAsia="Arial" w:cs="Arial"/>
      <w:b/>
      <w:bCs/>
      <w:sz w:val="24"/>
      <w:szCs w:val="24"/>
    </w:rPr>
  </w:style>
  <w:style w:type="character" w:styleId="1121" w:customStyle="1">
    <w:name w:val="Heading 6 Char"/>
    <w:basedOn w:val="1113"/>
    <w:uiPriority w:val="9"/>
    <w:rPr>
      <w:rFonts w:ascii="Arial" w:hAnsi="Arial" w:eastAsia="Arial" w:cs="Arial"/>
      <w:b/>
      <w:bCs/>
      <w:sz w:val="22"/>
      <w:szCs w:val="22"/>
    </w:rPr>
  </w:style>
  <w:style w:type="character" w:styleId="1122" w:customStyle="1">
    <w:name w:val="Heading 7 Char"/>
    <w:basedOn w:val="11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23" w:customStyle="1">
    <w:name w:val="Heading 8 Char"/>
    <w:basedOn w:val="1113"/>
    <w:uiPriority w:val="9"/>
    <w:rPr>
      <w:rFonts w:ascii="Arial" w:hAnsi="Arial" w:eastAsia="Arial" w:cs="Arial"/>
      <w:i/>
      <w:iCs/>
      <w:sz w:val="22"/>
      <w:szCs w:val="22"/>
    </w:rPr>
  </w:style>
  <w:style w:type="character" w:styleId="1124" w:customStyle="1">
    <w:name w:val="Heading 9 Char"/>
    <w:basedOn w:val="1113"/>
    <w:uiPriority w:val="9"/>
    <w:rPr>
      <w:rFonts w:ascii="Arial" w:hAnsi="Arial" w:eastAsia="Arial" w:cs="Arial"/>
      <w:i/>
      <w:iCs/>
      <w:sz w:val="21"/>
      <w:szCs w:val="21"/>
    </w:rPr>
  </w:style>
  <w:style w:type="character" w:styleId="1125" w:customStyle="1">
    <w:name w:val="Title Char"/>
    <w:basedOn w:val="1113"/>
    <w:uiPriority w:val="10"/>
    <w:rPr>
      <w:sz w:val="48"/>
      <w:szCs w:val="48"/>
    </w:rPr>
  </w:style>
  <w:style w:type="character" w:styleId="1126" w:customStyle="1">
    <w:name w:val="Subtitle Char"/>
    <w:basedOn w:val="1113"/>
    <w:uiPriority w:val="11"/>
    <w:rPr>
      <w:sz w:val="24"/>
      <w:szCs w:val="24"/>
    </w:rPr>
  </w:style>
  <w:style w:type="character" w:styleId="1127" w:customStyle="1">
    <w:name w:val="Quote Char"/>
    <w:uiPriority w:val="29"/>
    <w:rPr>
      <w:i/>
    </w:rPr>
  </w:style>
  <w:style w:type="character" w:styleId="1128" w:customStyle="1">
    <w:name w:val="Intense Quote Char"/>
    <w:uiPriority w:val="30"/>
    <w:rPr>
      <w:i/>
    </w:rPr>
  </w:style>
  <w:style w:type="character" w:styleId="1129" w:customStyle="1">
    <w:name w:val="Header Char"/>
    <w:basedOn w:val="1113"/>
    <w:uiPriority w:val="99"/>
  </w:style>
  <w:style w:type="character" w:styleId="1130" w:customStyle="1">
    <w:name w:val="Caption Char"/>
    <w:uiPriority w:val="99"/>
  </w:style>
  <w:style w:type="character" w:styleId="1131" w:customStyle="1">
    <w:name w:val="Footnote Text Char"/>
    <w:uiPriority w:val="99"/>
    <w:rPr>
      <w:sz w:val="18"/>
    </w:rPr>
  </w:style>
  <w:style w:type="character" w:styleId="1132" w:customStyle="1">
    <w:name w:val="Endnote Text Char"/>
    <w:uiPriority w:val="99"/>
    <w:rPr>
      <w:sz w:val="20"/>
    </w:rPr>
  </w:style>
  <w:style w:type="paragraph" w:styleId="1133" w:customStyle="1">
    <w:name w:val="Заголовок 11"/>
    <w:basedOn w:val="1111"/>
    <w:next w:val="1111"/>
    <w:link w:val="1142"/>
    <w:pPr>
      <w:spacing w:line="240" w:lineRule="auto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1134" w:customStyle="1">
    <w:name w:val="Заголовок 21"/>
    <w:basedOn w:val="1111"/>
    <w:next w:val="1111"/>
    <w:link w:val="1143"/>
    <w:pPr>
      <w:keepLines/>
      <w:keepNext/>
      <w:spacing w:before="40" w:after="0" w:line="276" w:lineRule="auto"/>
      <w:outlineLvl w:val="1"/>
    </w:pPr>
    <w:rPr>
      <w:color w:val="2f5496"/>
      <w:sz w:val="26"/>
      <w:szCs w:val="26"/>
    </w:rPr>
  </w:style>
  <w:style w:type="paragraph" w:styleId="1135" w:customStyle="1">
    <w:name w:val="Заголовок 31"/>
    <w:basedOn w:val="1111"/>
    <w:next w:val="1111"/>
    <w:link w:val="1144"/>
    <w:pPr>
      <w:keepLines/>
      <w:keepNext/>
      <w:spacing w:before="40" w:after="0" w:line="240" w:lineRule="auto"/>
      <w:outlineLvl w:val="2"/>
    </w:pPr>
    <w:rPr>
      <w:color w:val="1f3863"/>
      <w:sz w:val="24"/>
      <w:szCs w:val="24"/>
    </w:rPr>
  </w:style>
  <w:style w:type="paragraph" w:styleId="1136" w:customStyle="1">
    <w:name w:val="Заголовок 41"/>
    <w:basedOn w:val="1111"/>
    <w:next w:val="1111"/>
    <w:link w:val="1145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1137" w:customStyle="1">
    <w:name w:val="Заголовок 51"/>
    <w:basedOn w:val="1111"/>
    <w:next w:val="1111"/>
    <w:link w:val="1146"/>
    <w:pPr>
      <w:keepLines/>
      <w:keepNext/>
      <w:spacing w:before="220" w:after="40"/>
      <w:outlineLvl w:val="4"/>
    </w:pPr>
    <w:rPr>
      <w:b/>
    </w:rPr>
  </w:style>
  <w:style w:type="paragraph" w:styleId="1138" w:customStyle="1">
    <w:name w:val="Заголовок 61"/>
    <w:basedOn w:val="1111"/>
    <w:next w:val="1111"/>
    <w:link w:val="1147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1139" w:customStyle="1">
    <w:name w:val="Заголовок 71"/>
    <w:basedOn w:val="1111"/>
    <w:next w:val="1111"/>
    <w:link w:val="11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140" w:customStyle="1">
    <w:name w:val="Заголовок 81"/>
    <w:basedOn w:val="1111"/>
    <w:next w:val="1111"/>
    <w:link w:val="11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141" w:customStyle="1">
    <w:name w:val="Заголовок 91"/>
    <w:basedOn w:val="1111"/>
    <w:next w:val="1111"/>
    <w:link w:val="11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42" w:customStyle="1">
    <w:name w:val="Заголовок 1 Знак"/>
    <w:basedOn w:val="1113"/>
    <w:link w:val="1133"/>
    <w:uiPriority w:val="9"/>
    <w:rPr>
      <w:rFonts w:ascii="Arial" w:hAnsi="Arial" w:eastAsia="Arial" w:cs="Arial"/>
      <w:sz w:val="40"/>
      <w:szCs w:val="40"/>
    </w:rPr>
  </w:style>
  <w:style w:type="character" w:styleId="1143" w:customStyle="1">
    <w:name w:val="Заголовок 2 Знак"/>
    <w:basedOn w:val="1113"/>
    <w:link w:val="1134"/>
    <w:uiPriority w:val="9"/>
    <w:rPr>
      <w:rFonts w:ascii="Arial" w:hAnsi="Arial" w:eastAsia="Arial" w:cs="Arial"/>
      <w:sz w:val="34"/>
    </w:rPr>
  </w:style>
  <w:style w:type="character" w:styleId="1144" w:customStyle="1">
    <w:name w:val="Заголовок 3 Знак"/>
    <w:basedOn w:val="1113"/>
    <w:link w:val="1135"/>
    <w:uiPriority w:val="9"/>
    <w:rPr>
      <w:rFonts w:ascii="Arial" w:hAnsi="Arial" w:eastAsia="Arial" w:cs="Arial"/>
      <w:sz w:val="30"/>
      <w:szCs w:val="30"/>
    </w:rPr>
  </w:style>
  <w:style w:type="character" w:styleId="1145" w:customStyle="1">
    <w:name w:val="Заголовок 4 Знак"/>
    <w:basedOn w:val="1113"/>
    <w:link w:val="1136"/>
    <w:uiPriority w:val="9"/>
    <w:rPr>
      <w:rFonts w:ascii="Arial" w:hAnsi="Arial" w:eastAsia="Arial" w:cs="Arial"/>
      <w:b/>
      <w:bCs/>
      <w:sz w:val="26"/>
      <w:szCs w:val="26"/>
    </w:rPr>
  </w:style>
  <w:style w:type="character" w:styleId="1146" w:customStyle="1">
    <w:name w:val="Заголовок 5 Знак"/>
    <w:basedOn w:val="1113"/>
    <w:link w:val="1137"/>
    <w:uiPriority w:val="9"/>
    <w:rPr>
      <w:rFonts w:ascii="Arial" w:hAnsi="Arial" w:eastAsia="Arial" w:cs="Arial"/>
      <w:b/>
      <w:bCs/>
      <w:sz w:val="24"/>
      <w:szCs w:val="24"/>
    </w:rPr>
  </w:style>
  <w:style w:type="character" w:styleId="1147" w:customStyle="1">
    <w:name w:val="Заголовок 6 Знак"/>
    <w:basedOn w:val="1113"/>
    <w:link w:val="1138"/>
    <w:uiPriority w:val="9"/>
    <w:rPr>
      <w:rFonts w:ascii="Arial" w:hAnsi="Arial" w:eastAsia="Arial" w:cs="Arial"/>
      <w:b/>
      <w:bCs/>
      <w:sz w:val="22"/>
      <w:szCs w:val="22"/>
    </w:rPr>
  </w:style>
  <w:style w:type="character" w:styleId="1148" w:customStyle="1">
    <w:name w:val="Заголовок 7 Знак"/>
    <w:basedOn w:val="1113"/>
    <w:link w:val="11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49" w:customStyle="1">
    <w:name w:val="Заголовок 8 Знак"/>
    <w:basedOn w:val="1113"/>
    <w:link w:val="1140"/>
    <w:uiPriority w:val="9"/>
    <w:rPr>
      <w:rFonts w:ascii="Arial" w:hAnsi="Arial" w:eastAsia="Arial" w:cs="Arial"/>
      <w:i/>
      <w:iCs/>
      <w:sz w:val="22"/>
      <w:szCs w:val="22"/>
    </w:rPr>
  </w:style>
  <w:style w:type="character" w:styleId="1150" w:customStyle="1">
    <w:name w:val="Заголовок 9 Знак"/>
    <w:basedOn w:val="1113"/>
    <w:link w:val="1141"/>
    <w:uiPriority w:val="9"/>
    <w:rPr>
      <w:rFonts w:ascii="Arial" w:hAnsi="Arial" w:eastAsia="Arial" w:cs="Arial"/>
      <w:i/>
      <w:iCs/>
      <w:sz w:val="21"/>
      <w:szCs w:val="21"/>
    </w:rPr>
  </w:style>
  <w:style w:type="paragraph" w:styleId="1151">
    <w:name w:val="No Spacing"/>
    <w:uiPriority w:val="1"/>
    <w:qFormat/>
    <w:pPr>
      <w:spacing w:after="0" w:line="240" w:lineRule="auto"/>
    </w:pPr>
  </w:style>
  <w:style w:type="character" w:styleId="1152" w:customStyle="1">
    <w:name w:val="Название Знак"/>
    <w:basedOn w:val="1113"/>
    <w:link w:val="1309"/>
    <w:uiPriority w:val="10"/>
    <w:rPr>
      <w:sz w:val="48"/>
      <w:szCs w:val="48"/>
    </w:rPr>
  </w:style>
  <w:style w:type="character" w:styleId="1153" w:customStyle="1">
    <w:name w:val="Подзаголовок Знак"/>
    <w:basedOn w:val="1113"/>
    <w:link w:val="1310"/>
    <w:uiPriority w:val="11"/>
    <w:rPr>
      <w:sz w:val="24"/>
      <w:szCs w:val="24"/>
    </w:rPr>
  </w:style>
  <w:style w:type="paragraph" w:styleId="1154">
    <w:name w:val="Quote"/>
    <w:basedOn w:val="1111"/>
    <w:next w:val="1111"/>
    <w:link w:val="1155"/>
    <w:uiPriority w:val="29"/>
    <w:qFormat/>
    <w:pPr>
      <w:ind w:left="720" w:right="720"/>
    </w:pPr>
    <w:rPr>
      <w:i/>
    </w:rPr>
  </w:style>
  <w:style w:type="character" w:styleId="1155" w:customStyle="1">
    <w:name w:val="Цитата 2 Знак"/>
    <w:link w:val="1154"/>
    <w:uiPriority w:val="29"/>
    <w:rPr>
      <w:i/>
    </w:rPr>
  </w:style>
  <w:style w:type="paragraph" w:styleId="1156">
    <w:name w:val="Intense Quote"/>
    <w:basedOn w:val="1111"/>
    <w:next w:val="1111"/>
    <w:link w:val="11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57" w:customStyle="1">
    <w:name w:val="Выделенная цитата Знак"/>
    <w:link w:val="1156"/>
    <w:uiPriority w:val="30"/>
    <w:rPr>
      <w:i/>
    </w:rPr>
  </w:style>
  <w:style w:type="paragraph" w:styleId="1158" w:customStyle="1">
    <w:name w:val="Верхний колонтитул1"/>
    <w:basedOn w:val="1111"/>
    <w:link w:val="11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59" w:customStyle="1">
    <w:name w:val="Верхний колонтитул Знак"/>
    <w:basedOn w:val="1113"/>
    <w:link w:val="1158"/>
    <w:uiPriority w:val="99"/>
  </w:style>
  <w:style w:type="paragraph" w:styleId="1160" w:customStyle="1">
    <w:name w:val="Нижний колонтитул1"/>
    <w:basedOn w:val="1111"/>
    <w:link w:val="11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61" w:customStyle="1">
    <w:name w:val="Footer Char"/>
    <w:basedOn w:val="1113"/>
    <w:uiPriority w:val="99"/>
  </w:style>
  <w:style w:type="paragraph" w:styleId="1162" w:customStyle="1">
    <w:name w:val="Название объекта1"/>
    <w:basedOn w:val="1111"/>
    <w:next w:val="11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163" w:customStyle="1">
    <w:name w:val="Нижний колонтитул Знак"/>
    <w:link w:val="1160"/>
    <w:uiPriority w:val="99"/>
  </w:style>
  <w:style w:type="table" w:styleId="1164">
    <w:name w:val="Table Grid"/>
    <w:basedOn w:val="111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165" w:customStyle="1">
    <w:name w:val="Table Grid Light"/>
    <w:basedOn w:val="11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66" w:customStyle="1">
    <w:name w:val="Таблица простая 11"/>
    <w:basedOn w:val="11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7" w:customStyle="1">
    <w:name w:val="Таблица простая 21"/>
    <w:basedOn w:val="11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8" w:customStyle="1">
    <w:name w:val="Таблица простая 31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69" w:customStyle="1">
    <w:name w:val="Таблица простая 41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0" w:customStyle="1">
    <w:name w:val="Таблица простая 51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71" w:customStyle="1">
    <w:name w:val="Таблица-сетка 1 светл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2" w:customStyle="1">
    <w:name w:val="Grid Table 1 Light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3" w:customStyle="1">
    <w:name w:val="Grid Table 1 Light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4" w:customStyle="1">
    <w:name w:val="Grid Table 1 Light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5" w:customStyle="1">
    <w:name w:val="Grid Table 1 Light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6" w:customStyle="1">
    <w:name w:val="Grid Table 1 Light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7" w:customStyle="1">
    <w:name w:val="Grid Table 1 Light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8" w:customStyle="1">
    <w:name w:val="Таблица-сетка 2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 w:customStyle="1">
    <w:name w:val="Grid Table 2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Grid Table 2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Grid Table 2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Grid Table 2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Grid Table 2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Grid Table 2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 w:customStyle="1">
    <w:name w:val="Таблица-сетка 3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 w:customStyle="1">
    <w:name w:val="Grid Table 3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Grid Table 3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8" w:customStyle="1">
    <w:name w:val="Grid Table 3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9" w:customStyle="1">
    <w:name w:val="Grid Table 3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0" w:customStyle="1">
    <w:name w:val="Grid Table 3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 w:customStyle="1">
    <w:name w:val="Grid Table 3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 w:customStyle="1">
    <w:name w:val="Таблица-сетка 41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93" w:customStyle="1">
    <w:name w:val="Grid Table 4 - Accent 1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194" w:customStyle="1">
    <w:name w:val="Grid Table 4 - Accent 2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195" w:customStyle="1">
    <w:name w:val="Grid Table 4 - Accent 3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196" w:customStyle="1">
    <w:name w:val="Grid Table 4 - Accent 4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197" w:customStyle="1">
    <w:name w:val="Grid Table 4 - Accent 5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198" w:customStyle="1">
    <w:name w:val="Grid Table 4 - Accent 6"/>
    <w:basedOn w:val="11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199" w:customStyle="1">
    <w:name w:val="Таблица-сетка 5 тем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00" w:customStyle="1">
    <w:name w:val="Grid Table 5 Dark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201" w:customStyle="1">
    <w:name w:val="Grid Table 5 Dark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202" w:customStyle="1">
    <w:name w:val="Grid Table 5 Dark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203" w:customStyle="1">
    <w:name w:val="Grid Table 5 Dark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204" w:customStyle="1">
    <w:name w:val="Grid Table 5 Dark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205" w:customStyle="1">
    <w:name w:val="Grid Table 5 Dark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206" w:customStyle="1">
    <w:name w:val="Таблица-сетка 6 цвет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07" w:customStyle="1">
    <w:name w:val="Grid Table 6 Colorful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208" w:customStyle="1">
    <w:name w:val="Grid Table 6 Colorful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209" w:customStyle="1">
    <w:name w:val="Grid Table 6 Colorful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210" w:customStyle="1">
    <w:name w:val="Grid Table 6 Colorful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211" w:customStyle="1">
    <w:name w:val="Grid Table 6 Colorful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2" w:customStyle="1">
    <w:name w:val="Grid Table 6 Colorful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3" w:customStyle="1">
    <w:name w:val="Таблица-сетка 7 цвет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4" w:customStyle="1">
    <w:name w:val="Grid Table 7 Colorful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5" w:customStyle="1">
    <w:name w:val="Grid Table 7 Colorful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6" w:customStyle="1">
    <w:name w:val="Grid Table 7 Colorful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7" w:customStyle="1">
    <w:name w:val="Grid Table 7 Colorful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8" w:customStyle="1">
    <w:name w:val="Grid Table 7 Colorful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9" w:customStyle="1">
    <w:name w:val="Grid Table 7 Colorful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0" w:customStyle="1">
    <w:name w:val="Список-таблица 1 светлая1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List Table 1 Light - Accent 1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 w:customStyle="1">
    <w:name w:val="List Table 1 Light - Accent 2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List Table 1 Light - Accent 3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List Table 1 Light - Accent 4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List Table 1 Light - Accent 5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List Table 1 Light - Accent 6"/>
    <w:basedOn w:val="11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Список-таблица 2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28" w:customStyle="1">
    <w:name w:val="List Table 2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229" w:customStyle="1">
    <w:name w:val="List Table 2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230" w:customStyle="1">
    <w:name w:val="List Table 2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231" w:customStyle="1">
    <w:name w:val="List Table 2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232" w:customStyle="1">
    <w:name w:val="List Table 2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233" w:customStyle="1">
    <w:name w:val="List Table 2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234" w:customStyle="1">
    <w:name w:val="Список-таблица 3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5" w:customStyle="1">
    <w:name w:val="List Table 3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6" w:customStyle="1">
    <w:name w:val="List Table 3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7" w:customStyle="1">
    <w:name w:val="List Table 3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8" w:customStyle="1">
    <w:name w:val="List Table 3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9" w:customStyle="1">
    <w:name w:val="List Table 3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0" w:customStyle="1">
    <w:name w:val="List Table 3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1" w:customStyle="1">
    <w:name w:val="Список-таблица 4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2" w:customStyle="1">
    <w:name w:val="List Table 4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3" w:customStyle="1">
    <w:name w:val="List Table 4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4" w:customStyle="1">
    <w:name w:val="List Table 4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5" w:customStyle="1">
    <w:name w:val="List Table 4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6" w:customStyle="1">
    <w:name w:val="List Table 4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7" w:customStyle="1">
    <w:name w:val="List Table 4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8" w:customStyle="1">
    <w:name w:val="Список-таблица 5 тем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49" w:customStyle="1">
    <w:name w:val="List Table 5 Dark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0" w:customStyle="1">
    <w:name w:val="List Table 5 Dark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1" w:customStyle="1">
    <w:name w:val="List Table 5 Dark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2" w:customStyle="1">
    <w:name w:val="List Table 5 Dark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3" w:customStyle="1">
    <w:name w:val="List Table 5 Dark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4" w:customStyle="1">
    <w:name w:val="List Table 5 Dark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5" w:customStyle="1">
    <w:name w:val="Список-таблица 6 цвет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56" w:customStyle="1">
    <w:name w:val="List Table 6 Colorful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257" w:customStyle="1">
    <w:name w:val="List Table 6 Colorful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258" w:customStyle="1">
    <w:name w:val="List Table 6 Colorful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259" w:customStyle="1">
    <w:name w:val="List Table 6 Colorful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260" w:customStyle="1">
    <w:name w:val="List Table 6 Colorful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261" w:customStyle="1">
    <w:name w:val="List Table 6 Colorful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262" w:customStyle="1">
    <w:name w:val="Список-таблица 7 цветная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3" w:customStyle="1">
    <w:name w:val="List Table 7 Colorful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4" w:customStyle="1">
    <w:name w:val="List Table 7 Colorful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5" w:customStyle="1">
    <w:name w:val="List Table 7 Colorful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6" w:customStyle="1">
    <w:name w:val="List Table 7 Colorful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7" w:customStyle="1">
    <w:name w:val="List Table 7 Colorful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8" w:customStyle="1">
    <w:name w:val="List Table 7 Colorful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9" w:customStyle="1">
    <w:name w:val="Lined - Accent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0" w:customStyle="1">
    <w:name w:val="Lined - Accent 1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1" w:customStyle="1">
    <w:name w:val="Lined - Accent 2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72" w:customStyle="1">
    <w:name w:val="Lined - Accent 3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73" w:customStyle="1">
    <w:name w:val="Lined - Accent 4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74" w:customStyle="1">
    <w:name w:val="Lined - Accent 5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75" w:customStyle="1">
    <w:name w:val="Lined - Accent 6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76" w:customStyle="1">
    <w:name w:val="Bordered &amp; Lined - Accent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7" w:customStyle="1">
    <w:name w:val="Bordered &amp; Lined - Accent 1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8" w:customStyle="1">
    <w:name w:val="Bordered &amp; Lined - Accent 2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79" w:customStyle="1">
    <w:name w:val="Bordered &amp; Lined - Accent 3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80" w:customStyle="1">
    <w:name w:val="Bordered &amp; Lined - Accent 4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81" w:customStyle="1">
    <w:name w:val="Bordered &amp; Lined - Accent 5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82" w:customStyle="1">
    <w:name w:val="Bordered &amp; Lined - Accent 6"/>
    <w:basedOn w:val="1114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83" w:customStyle="1">
    <w:name w:val="Bordered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84" w:customStyle="1">
    <w:name w:val="Bordered - Accent 1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285" w:customStyle="1">
    <w:name w:val="Bordered - Accent 2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286" w:customStyle="1">
    <w:name w:val="Bordered - Accent 3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287" w:customStyle="1">
    <w:name w:val="Bordered - Accent 4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288" w:customStyle="1">
    <w:name w:val="Bordered - Accent 5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289" w:customStyle="1">
    <w:name w:val="Bordered - Accent 6"/>
    <w:basedOn w:val="11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290">
    <w:name w:val="Hyperlink"/>
    <w:uiPriority w:val="99"/>
    <w:unhideWhenUsed/>
    <w:rPr>
      <w:color w:val="0000ff" w:themeColor="hyperlink"/>
      <w:u w:val="single"/>
    </w:rPr>
  </w:style>
  <w:style w:type="paragraph" w:styleId="1291">
    <w:name w:val="footnote text"/>
    <w:basedOn w:val="1111"/>
    <w:link w:val="1292"/>
    <w:uiPriority w:val="99"/>
    <w:semiHidden/>
    <w:unhideWhenUsed/>
    <w:pPr>
      <w:spacing w:after="40" w:line="240" w:lineRule="auto"/>
    </w:pPr>
    <w:rPr>
      <w:sz w:val="18"/>
    </w:rPr>
  </w:style>
  <w:style w:type="character" w:styleId="1292" w:customStyle="1">
    <w:name w:val="Текст сноски Знак"/>
    <w:link w:val="1291"/>
    <w:uiPriority w:val="99"/>
    <w:rPr>
      <w:sz w:val="18"/>
    </w:rPr>
  </w:style>
  <w:style w:type="character" w:styleId="1293">
    <w:name w:val="footnote reference"/>
    <w:basedOn w:val="1113"/>
    <w:uiPriority w:val="99"/>
    <w:unhideWhenUsed/>
    <w:rPr>
      <w:vertAlign w:val="superscript"/>
    </w:rPr>
  </w:style>
  <w:style w:type="paragraph" w:styleId="1294">
    <w:name w:val="endnote text"/>
    <w:basedOn w:val="1111"/>
    <w:link w:val="1295"/>
    <w:uiPriority w:val="99"/>
    <w:semiHidden/>
    <w:unhideWhenUsed/>
    <w:pPr>
      <w:spacing w:after="0" w:line="240" w:lineRule="auto"/>
    </w:pPr>
    <w:rPr>
      <w:sz w:val="20"/>
    </w:rPr>
  </w:style>
  <w:style w:type="character" w:styleId="1295" w:customStyle="1">
    <w:name w:val="Текст концевой сноски Знак"/>
    <w:link w:val="1294"/>
    <w:uiPriority w:val="99"/>
    <w:rPr>
      <w:sz w:val="20"/>
    </w:rPr>
  </w:style>
  <w:style w:type="character" w:styleId="1296">
    <w:name w:val="endnote reference"/>
    <w:basedOn w:val="1113"/>
    <w:uiPriority w:val="99"/>
    <w:semiHidden/>
    <w:unhideWhenUsed/>
    <w:rPr>
      <w:vertAlign w:val="superscript"/>
    </w:rPr>
  </w:style>
  <w:style w:type="paragraph" w:styleId="1297">
    <w:name w:val="toc 1"/>
    <w:basedOn w:val="1111"/>
    <w:next w:val="1111"/>
    <w:uiPriority w:val="39"/>
    <w:unhideWhenUsed/>
    <w:pPr>
      <w:spacing w:after="57"/>
    </w:pPr>
  </w:style>
  <w:style w:type="paragraph" w:styleId="1298">
    <w:name w:val="toc 2"/>
    <w:basedOn w:val="1111"/>
    <w:next w:val="1111"/>
    <w:uiPriority w:val="39"/>
    <w:unhideWhenUsed/>
    <w:pPr>
      <w:ind w:left="283"/>
      <w:spacing w:after="57"/>
    </w:pPr>
  </w:style>
  <w:style w:type="paragraph" w:styleId="1299">
    <w:name w:val="toc 3"/>
    <w:basedOn w:val="1111"/>
    <w:next w:val="1111"/>
    <w:uiPriority w:val="39"/>
    <w:unhideWhenUsed/>
    <w:pPr>
      <w:ind w:left="567"/>
      <w:spacing w:after="57"/>
    </w:pPr>
  </w:style>
  <w:style w:type="paragraph" w:styleId="1300">
    <w:name w:val="toc 4"/>
    <w:basedOn w:val="1111"/>
    <w:next w:val="1111"/>
    <w:uiPriority w:val="39"/>
    <w:unhideWhenUsed/>
    <w:pPr>
      <w:ind w:left="850"/>
      <w:spacing w:after="57"/>
    </w:pPr>
  </w:style>
  <w:style w:type="paragraph" w:styleId="1301">
    <w:name w:val="toc 5"/>
    <w:basedOn w:val="1111"/>
    <w:next w:val="1111"/>
    <w:uiPriority w:val="39"/>
    <w:unhideWhenUsed/>
    <w:pPr>
      <w:ind w:left="1134"/>
      <w:spacing w:after="57"/>
    </w:pPr>
  </w:style>
  <w:style w:type="paragraph" w:styleId="1302">
    <w:name w:val="toc 6"/>
    <w:basedOn w:val="1111"/>
    <w:next w:val="1111"/>
    <w:uiPriority w:val="39"/>
    <w:unhideWhenUsed/>
    <w:pPr>
      <w:ind w:left="1417"/>
      <w:spacing w:after="57"/>
    </w:pPr>
  </w:style>
  <w:style w:type="paragraph" w:styleId="1303">
    <w:name w:val="toc 7"/>
    <w:basedOn w:val="1111"/>
    <w:next w:val="1111"/>
    <w:uiPriority w:val="39"/>
    <w:unhideWhenUsed/>
    <w:pPr>
      <w:ind w:left="1701"/>
      <w:spacing w:after="57"/>
    </w:pPr>
  </w:style>
  <w:style w:type="paragraph" w:styleId="1304">
    <w:name w:val="toc 8"/>
    <w:basedOn w:val="1111"/>
    <w:next w:val="1111"/>
    <w:uiPriority w:val="39"/>
    <w:unhideWhenUsed/>
    <w:pPr>
      <w:ind w:left="1984"/>
      <w:spacing w:after="57"/>
    </w:pPr>
  </w:style>
  <w:style w:type="paragraph" w:styleId="1305">
    <w:name w:val="toc 9"/>
    <w:basedOn w:val="1111"/>
    <w:next w:val="1111"/>
    <w:uiPriority w:val="39"/>
    <w:unhideWhenUsed/>
    <w:pPr>
      <w:ind w:left="2268"/>
      <w:spacing w:after="57"/>
    </w:pPr>
  </w:style>
  <w:style w:type="paragraph" w:styleId="1306">
    <w:name w:val="TOC Heading"/>
    <w:uiPriority w:val="39"/>
    <w:unhideWhenUsed/>
  </w:style>
  <w:style w:type="paragraph" w:styleId="1307">
    <w:name w:val="table of figures"/>
    <w:basedOn w:val="1111"/>
    <w:next w:val="1111"/>
    <w:uiPriority w:val="99"/>
    <w:unhideWhenUsed/>
    <w:pPr>
      <w:spacing w:after="0"/>
    </w:pPr>
  </w:style>
  <w:style w:type="table" w:styleId="130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309">
    <w:name w:val="Title"/>
    <w:basedOn w:val="1111"/>
    <w:next w:val="1111"/>
    <w:link w:val="1152"/>
    <w:pPr>
      <w:keepLines/>
      <w:keepNext/>
      <w:spacing w:before="480" w:after="120"/>
    </w:pPr>
    <w:rPr>
      <w:b/>
      <w:sz w:val="72"/>
      <w:szCs w:val="72"/>
    </w:rPr>
  </w:style>
  <w:style w:type="paragraph" w:styleId="1310">
    <w:name w:val="Subtitle"/>
    <w:basedOn w:val="1111"/>
    <w:next w:val="1111"/>
    <w:link w:val="1153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311" w:customStyle="1">
    <w:name w:val="StGen0"/>
    <w:basedOn w:val="130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312" w:customStyle="1">
    <w:name w:val="StGen1"/>
    <w:basedOn w:val="1308"/>
    <w:tblPr>
      <w:tblStyleRowBandSize w:val="1"/>
      <w:tblStyleColBandSize w:val="1"/>
    </w:tblPr>
  </w:style>
  <w:style w:type="table" w:styleId="1313" w:customStyle="1">
    <w:name w:val="StGen2"/>
    <w:basedOn w:val="1308"/>
    <w:tblPr>
      <w:tblStyleRowBandSize w:val="1"/>
      <w:tblStyleColBandSize w:val="1"/>
    </w:tblPr>
  </w:style>
  <w:style w:type="table" w:styleId="1314" w:customStyle="1">
    <w:name w:val="StGen3"/>
    <w:basedOn w:val="130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315" w:customStyle="1">
    <w:name w:val="StGen4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16" w:customStyle="1">
    <w:name w:val="StGen5"/>
    <w:basedOn w:val="1308"/>
    <w:tblPr>
      <w:tblStyleRowBandSize w:val="1"/>
      <w:tblStyleColBandSize w:val="1"/>
    </w:tblPr>
  </w:style>
  <w:style w:type="table" w:styleId="1317" w:customStyle="1">
    <w:name w:val="StGen6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18" w:customStyle="1">
    <w:name w:val="StGen7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19" w:customStyle="1">
    <w:name w:val="StGen8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0" w:customStyle="1">
    <w:name w:val="StGen9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1" w:customStyle="1">
    <w:name w:val="StGen10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2" w:customStyle="1">
    <w:name w:val="StGen11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3" w:customStyle="1">
    <w:name w:val="StGen12"/>
    <w:basedOn w:val="13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4" w:customStyle="1">
    <w:name w:val="StGen13"/>
    <w:basedOn w:val="1308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325" w:customStyle="1">
    <w:name w:val="StGen14"/>
    <w:basedOn w:val="130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1326">
    <w:name w:val="annotation reference"/>
    <w:basedOn w:val="1113"/>
    <w:uiPriority w:val="99"/>
    <w:semiHidden/>
    <w:unhideWhenUsed/>
    <w:rPr>
      <w:sz w:val="16"/>
      <w:szCs w:val="16"/>
    </w:rPr>
  </w:style>
  <w:style w:type="paragraph" w:styleId="1327">
    <w:name w:val="annotation text"/>
    <w:basedOn w:val="1111"/>
    <w:link w:val="1328"/>
    <w:uiPriority w:val="99"/>
    <w:unhideWhenUsed/>
    <w:pPr>
      <w:spacing w:line="240" w:lineRule="auto"/>
    </w:pPr>
    <w:rPr>
      <w:sz w:val="20"/>
      <w:szCs w:val="20"/>
    </w:rPr>
  </w:style>
  <w:style w:type="character" w:styleId="1328" w:customStyle="1">
    <w:name w:val="Текст примечания Знак"/>
    <w:basedOn w:val="1113"/>
    <w:link w:val="1327"/>
    <w:uiPriority w:val="99"/>
    <w:rPr>
      <w:sz w:val="20"/>
      <w:szCs w:val="20"/>
    </w:rPr>
  </w:style>
  <w:style w:type="paragraph" w:styleId="1329">
    <w:name w:val="annotation subject"/>
    <w:basedOn w:val="1327"/>
    <w:next w:val="1327"/>
    <w:link w:val="1330"/>
    <w:uiPriority w:val="99"/>
    <w:semiHidden/>
    <w:unhideWhenUsed/>
    <w:rPr>
      <w:b/>
      <w:bCs/>
    </w:rPr>
  </w:style>
  <w:style w:type="character" w:styleId="1330" w:customStyle="1">
    <w:name w:val="Тема примечания Знак"/>
    <w:basedOn w:val="1328"/>
    <w:link w:val="1329"/>
    <w:uiPriority w:val="99"/>
    <w:semiHidden/>
    <w:rPr>
      <w:b/>
      <w:bCs/>
      <w:sz w:val="20"/>
      <w:szCs w:val="20"/>
    </w:rPr>
  </w:style>
  <w:style w:type="paragraph" w:styleId="1331">
    <w:name w:val="Balloon Text"/>
    <w:basedOn w:val="1111"/>
    <w:link w:val="133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332" w:customStyle="1">
    <w:name w:val="Текст выноски Знак"/>
    <w:basedOn w:val="1113"/>
    <w:link w:val="1331"/>
    <w:uiPriority w:val="99"/>
    <w:semiHidden/>
    <w:rPr>
      <w:rFonts w:ascii="Segoe UI" w:hAnsi="Segoe UI" w:cs="Segoe UI"/>
      <w:sz w:val="18"/>
      <w:szCs w:val="18"/>
    </w:rPr>
  </w:style>
  <w:style w:type="paragraph" w:styleId="1333">
    <w:name w:val="List Paragraph"/>
    <w:basedOn w:val="1111"/>
    <w:uiPriority w:val="34"/>
    <w:qFormat/>
    <w:pPr>
      <w:contextualSpacing/>
      <w:ind w:left="720"/>
    </w:pPr>
  </w:style>
  <w:style w:type="paragraph" w:styleId="1334">
    <w:name w:val="Revision"/>
    <w:hidden/>
    <w:uiPriority w:val="99"/>
    <w:semiHidden/>
    <w:pPr>
      <w:spacing w:after="0" w:line="240" w:lineRule="auto"/>
    </w:pPr>
  </w:style>
  <w:style w:type="character" w:styleId="1335" w:customStyle="1">
    <w:name w:val="Заголовок 1 Знак1"/>
    <w:basedOn w:val="1113"/>
    <w:link w:val="11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1336">
    <w:name w:val="Header"/>
    <w:basedOn w:val="1111"/>
    <w:link w:val="13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337" w:customStyle="1">
    <w:name w:val="Верхний колонтитул Знак1"/>
    <w:basedOn w:val="1113"/>
    <w:link w:val="1336"/>
    <w:uiPriority w:val="99"/>
  </w:style>
  <w:style w:type="paragraph" w:styleId="1338">
    <w:name w:val="Footer"/>
    <w:basedOn w:val="1111"/>
    <w:link w:val="13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339" w:customStyle="1">
    <w:name w:val="Нижний колонтитул Знак1"/>
    <w:basedOn w:val="1113"/>
    <w:link w:val="1338"/>
    <w:uiPriority w:val="99"/>
  </w:style>
  <w:style w:type="paragraph" w:styleId="1340" w:customStyle="1">
    <w:name w:val="Обычный1"/>
  </w:style>
  <w:style w:type="paragraph" w:styleId="1341" w:customStyle="1">
    <w:name w:val="Обычный2"/>
  </w:style>
  <w:style w:type="character" w:styleId="1342" w:customStyle="1">
    <w:name w:val="search_result"/>
    <w:basedOn w:val="1113"/>
  </w:style>
  <w:style w:type="character" w:styleId="1343" w:customStyle="1">
    <w:name w:val="message-time"/>
    <w:basedOn w:val="1113"/>
  </w:style>
  <w:style w:type="character" w:styleId="1344" w:customStyle="1">
    <w:name w:val="placeholder-text"/>
    <w:basedOn w:val="1113"/>
  </w:style>
  <w:style w:type="paragraph" w:styleId="1345" w:customStyle="1">
    <w:name w:val="228bf8a64b8551e1msonormal"/>
    <w:basedOn w:val="11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34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nlyoffice.com/commentsDocument" Target="commentsDocument.xml" /><Relationship Id="rId17" Type="http://schemas.onlyoffice.com/commentsExtendedDocument" Target="commentsExtendedDocument.xml" /><Relationship Id="rId18" Type="http://schemas.onlyoffice.com/commentsExtensibleDocument" Target="commentsExtensibleDocument.xml" /><Relationship Id="rId19" Type="http://schemas.onlyoffice.com/commentsIdsDocument" Target="commentsIds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D3473-F2BD-4FCD-B6DA-F0139386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Черненкова Светлана Владимировна</dc:creator>
  <cp:revision>12</cp:revision>
  <dcterms:created xsi:type="dcterms:W3CDTF">2024-01-09T13:53:00Z</dcterms:created>
  <dcterms:modified xsi:type="dcterms:W3CDTF">2025-09-16T14:01:28Z</dcterms:modified>
</cp:coreProperties>
</file>